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60" w:rsidRPr="00807F60" w:rsidRDefault="00372EE8" w:rsidP="008A6444">
      <w:pPr>
        <w:jc w:val="right"/>
        <w:rPr>
          <w:rFonts w:ascii="Verdana" w:hAnsi="Verdana" w:cs="FrutigerLTStd-Cn"/>
          <w:b/>
          <w:sz w:val="22"/>
          <w:szCs w:val="22"/>
        </w:rPr>
      </w:pPr>
      <w:r>
        <w:rPr>
          <w:rFonts w:ascii="Verdana" w:hAnsi="Verdana"/>
          <w:noProof/>
          <w:sz w:val="22"/>
        </w:rPr>
        <w:drawing>
          <wp:anchor distT="0" distB="0" distL="114300" distR="114300" simplePos="0" relativeHeight="251657728" behindDoc="0" locked="0" layoutInCell="1" allowOverlap="1">
            <wp:simplePos x="0" y="0"/>
            <wp:positionH relativeFrom="column">
              <wp:posOffset>149225</wp:posOffset>
            </wp:positionH>
            <wp:positionV relativeFrom="paragraph">
              <wp:posOffset>-408940</wp:posOffset>
            </wp:positionV>
            <wp:extent cx="2400300" cy="10655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3E1" w:rsidRDefault="002133E1" w:rsidP="00967F61">
      <w:pPr>
        <w:pStyle w:val="Corpotesto"/>
        <w:autoSpaceDE w:val="0"/>
        <w:autoSpaceDN w:val="0"/>
        <w:adjustRightInd w:val="0"/>
        <w:rPr>
          <w:rFonts w:ascii="Verdana" w:hAnsi="Verdana"/>
          <w:color w:val="000000"/>
          <w:sz w:val="20"/>
        </w:rPr>
      </w:pPr>
    </w:p>
    <w:p w:rsidR="00807F60" w:rsidRDefault="00807F60" w:rsidP="00967F61">
      <w:pPr>
        <w:pStyle w:val="Corpotesto"/>
        <w:autoSpaceDE w:val="0"/>
        <w:autoSpaceDN w:val="0"/>
        <w:adjustRightInd w:val="0"/>
        <w:rPr>
          <w:rFonts w:ascii="Verdana" w:hAnsi="Verdana"/>
          <w:color w:val="000000"/>
          <w:sz w:val="20"/>
        </w:rPr>
      </w:pPr>
    </w:p>
    <w:p w:rsidR="00807F60" w:rsidRPr="008E5399" w:rsidRDefault="00807F60" w:rsidP="00807F60">
      <w:pPr>
        <w:autoSpaceDE w:val="0"/>
        <w:autoSpaceDN w:val="0"/>
        <w:adjustRightInd w:val="0"/>
        <w:jc w:val="both"/>
        <w:rPr>
          <w:rFonts w:ascii="Verdana" w:hAnsi="Verdana" w:cs="FrutigerLTStd-Cn"/>
          <w:sz w:val="22"/>
          <w:szCs w:val="22"/>
        </w:rPr>
      </w:pPr>
      <w:r w:rsidRPr="008E5399">
        <w:rPr>
          <w:rFonts w:ascii="Verdana" w:hAnsi="Verdana" w:cs="FrutigerLTStd-Cn"/>
          <w:sz w:val="22"/>
          <w:szCs w:val="22"/>
        </w:rPr>
        <w:t>Dopo la grave recessione del 2009, la quasi totalità delle economie avanzate ha riavviato, seppure con qualche difficoltà, il processo di crescita bruscamente interrotto.</w:t>
      </w:r>
    </w:p>
    <w:p w:rsidR="00807F60" w:rsidRDefault="00807F60" w:rsidP="00807F60">
      <w:pPr>
        <w:pStyle w:val="Corpotesto"/>
        <w:autoSpaceDE w:val="0"/>
        <w:autoSpaceDN w:val="0"/>
        <w:adjustRightInd w:val="0"/>
        <w:rPr>
          <w:rFonts w:ascii="Verdana" w:hAnsi="Verdana"/>
          <w:color w:val="000000"/>
          <w:sz w:val="20"/>
        </w:rPr>
      </w:pPr>
      <w:r w:rsidRPr="008E5399">
        <w:rPr>
          <w:rFonts w:ascii="Verdana" w:hAnsi="Verdana" w:cs="FrutigerLTStd-Cn"/>
          <w:sz w:val="22"/>
          <w:szCs w:val="22"/>
        </w:rPr>
        <w:t xml:space="preserve">Certamente le economie europee hanno dimostrato una maggiore fragilità ed una minore reattività allo shock ciclico per ritornare sui ritmi pre-crisi rispetto, ad esempio, all’area nordamericana o agli </w:t>
      </w:r>
      <w:proofErr w:type="spellStart"/>
      <w:r w:rsidRPr="008E5399">
        <w:rPr>
          <w:rFonts w:ascii="Verdana" w:hAnsi="Verdana" w:cs="FrutigerLTStd-Cn"/>
          <w:sz w:val="22"/>
          <w:szCs w:val="22"/>
        </w:rPr>
        <w:t>emerging</w:t>
      </w:r>
      <w:proofErr w:type="spellEnd"/>
      <w:r w:rsidRPr="008E5399">
        <w:rPr>
          <w:rFonts w:ascii="Verdana" w:hAnsi="Verdana" w:cs="FrutigerLTStd-Cn"/>
          <w:sz w:val="22"/>
          <w:szCs w:val="22"/>
        </w:rPr>
        <w:t xml:space="preserve"> </w:t>
      </w:r>
      <w:proofErr w:type="spellStart"/>
      <w:r w:rsidRPr="008E5399">
        <w:rPr>
          <w:rFonts w:ascii="Verdana" w:hAnsi="Verdana" w:cs="FrutigerLTStd-Cn"/>
          <w:sz w:val="22"/>
          <w:szCs w:val="22"/>
        </w:rPr>
        <w:t>markets</w:t>
      </w:r>
      <w:proofErr w:type="spellEnd"/>
      <w:r w:rsidRPr="008E5399">
        <w:rPr>
          <w:rFonts w:ascii="Verdana" w:hAnsi="Verdana" w:cs="FrutigerLTStd-Cn"/>
          <w:sz w:val="22"/>
          <w:szCs w:val="22"/>
        </w:rPr>
        <w:t xml:space="preserve"> asiatici, </w:t>
      </w:r>
      <w:r w:rsidRPr="00807F60">
        <w:rPr>
          <w:rFonts w:ascii="Verdana" w:hAnsi="Verdana" w:cs="FrutigerLTStd-Cn"/>
          <w:sz w:val="22"/>
          <w:szCs w:val="22"/>
        </w:rPr>
        <w:t xml:space="preserve">e dunque è senz’altro vero che i problemi di crescita riguardino, nel complesso, tutta </w:t>
      </w:r>
      <w:r w:rsidRPr="008E5399">
        <w:rPr>
          <w:rFonts w:ascii="Verdana" w:hAnsi="Verdana" w:cs="FrutigerLTStd-Cn"/>
          <w:sz w:val="22"/>
          <w:szCs w:val="22"/>
        </w:rPr>
        <w:t>l’Europa</w:t>
      </w:r>
      <w:r w:rsidRPr="00807F60">
        <w:rPr>
          <w:rFonts w:ascii="Verdana" w:hAnsi="Verdana" w:cs="FrutigerLTStd-Cn"/>
          <w:sz w:val="22"/>
          <w:szCs w:val="22"/>
        </w:rPr>
        <w:t>. M</w:t>
      </w:r>
      <w:r w:rsidRPr="008E5399">
        <w:rPr>
          <w:rFonts w:ascii="Verdana" w:hAnsi="Verdana" w:cs="FrutigerLTStd-Cn"/>
          <w:sz w:val="22"/>
          <w:szCs w:val="22"/>
        </w:rPr>
        <w:t>a all’interno del contesto europeo, il problema dell’incapacità di ritornare su un sentiero di sviluppo resta, purtroppo, una specificità tutta italiana, formatasi già prima della recessione del 2008, che allontana il nostro paese dalle altre principali economie dell’eurozona</w:t>
      </w:r>
      <w:r w:rsidRPr="00807F60">
        <w:rPr>
          <w:rFonts w:ascii="Verdana" w:hAnsi="Verdana" w:cs="FrutigerLTStd-Cn"/>
          <w:sz w:val="22"/>
          <w:szCs w:val="22"/>
        </w:rPr>
        <w:t xml:space="preserve"> (</w:t>
      </w:r>
      <w:r w:rsidRPr="008E5399">
        <w:rPr>
          <w:rFonts w:ascii="Verdana" w:hAnsi="Verdana" w:cs="FrutigerLTStd-Cn"/>
          <w:sz w:val="22"/>
          <w:szCs w:val="22"/>
        </w:rPr>
        <w:t>fig</w:t>
      </w:r>
      <w:r w:rsidRPr="00807F60">
        <w:rPr>
          <w:rFonts w:ascii="Verdana" w:hAnsi="Verdana" w:cs="FrutigerLTStd-Cn"/>
          <w:sz w:val="22"/>
          <w:szCs w:val="22"/>
        </w:rPr>
        <w:t>.</w:t>
      </w:r>
      <w:r w:rsidRPr="008E5399">
        <w:rPr>
          <w:rFonts w:ascii="Verdana" w:hAnsi="Verdana" w:cs="FrutigerLTStd-Cn"/>
          <w:sz w:val="22"/>
          <w:szCs w:val="22"/>
        </w:rPr>
        <w:t xml:space="preserve"> </w:t>
      </w:r>
      <w:r w:rsidRPr="00807F60">
        <w:rPr>
          <w:rFonts w:ascii="Verdana" w:hAnsi="Verdana" w:cs="FrutigerLTStd-Cn"/>
          <w:sz w:val="22"/>
          <w:szCs w:val="22"/>
        </w:rPr>
        <w:t>A).</w:t>
      </w:r>
    </w:p>
    <w:p w:rsidR="00807F60" w:rsidRDefault="00807F60" w:rsidP="00967F61">
      <w:pPr>
        <w:pStyle w:val="Corpotesto"/>
        <w:autoSpaceDE w:val="0"/>
        <w:autoSpaceDN w:val="0"/>
        <w:adjustRightInd w:val="0"/>
        <w:rPr>
          <w:rFonts w:ascii="Verdana" w:hAnsi="Verdana"/>
          <w:color w:val="000000"/>
          <w:sz w:val="20"/>
        </w:rPr>
      </w:pPr>
    </w:p>
    <w:p w:rsidR="00807F60" w:rsidRDefault="00807F60" w:rsidP="00967F61">
      <w:pPr>
        <w:pStyle w:val="Corpotesto"/>
        <w:autoSpaceDE w:val="0"/>
        <w:autoSpaceDN w:val="0"/>
        <w:adjustRightInd w:val="0"/>
        <w:rPr>
          <w:rFonts w:ascii="Verdana" w:hAnsi="Verdana"/>
          <w:color w:val="000000"/>
          <w:sz w:val="20"/>
        </w:rPr>
      </w:pPr>
    </w:p>
    <w:p w:rsidR="002133E1" w:rsidRDefault="002133E1" w:rsidP="00967F61">
      <w:pPr>
        <w:pStyle w:val="Corpotesto"/>
        <w:autoSpaceDE w:val="0"/>
        <w:autoSpaceDN w:val="0"/>
        <w:adjustRightInd w:val="0"/>
        <w:rPr>
          <w:rFonts w:ascii="Verdana" w:hAnsi="Verdana"/>
          <w:color w:val="000000"/>
          <w:sz w:val="20"/>
        </w:rPr>
      </w:pPr>
    </w:p>
    <w:p w:rsidR="002133E1" w:rsidRDefault="002133E1" w:rsidP="00967F61">
      <w:pPr>
        <w:pStyle w:val="Corpotesto"/>
        <w:autoSpaceDE w:val="0"/>
        <w:autoSpaceDN w:val="0"/>
        <w:adjustRightInd w:val="0"/>
        <w:rPr>
          <w:rFonts w:ascii="Verdana" w:hAnsi="Verdana"/>
          <w:color w:val="000000"/>
          <w:sz w:val="20"/>
        </w:rPr>
      </w:pPr>
    </w:p>
    <w:p w:rsidR="002133E1" w:rsidRDefault="002133E1" w:rsidP="00967F61">
      <w:pPr>
        <w:pStyle w:val="Corpotesto"/>
        <w:autoSpaceDE w:val="0"/>
        <w:autoSpaceDN w:val="0"/>
        <w:adjustRightInd w:val="0"/>
        <w:rPr>
          <w:rFonts w:ascii="Verdana" w:hAnsi="Verdana"/>
          <w:color w:val="000000"/>
          <w:sz w:val="20"/>
        </w:rPr>
      </w:pPr>
    </w:p>
    <w:p w:rsidR="00807F60" w:rsidRDefault="00807F60" w:rsidP="002133E1">
      <w:pPr>
        <w:pStyle w:val="Pidipagina"/>
        <w:jc w:val="center"/>
        <w:rPr>
          <w:rStyle w:val="Collegamentoipertestuale"/>
          <w:sz w:val="16"/>
        </w:rPr>
      </w:pPr>
      <w:bookmarkStart w:id="0" w:name="_GoBack"/>
      <w:bookmarkEnd w:id="0"/>
    </w:p>
    <w:p w:rsidR="00C52464" w:rsidRPr="00C52464" w:rsidRDefault="00C52464" w:rsidP="00C52464">
      <w:pPr>
        <w:pStyle w:val="Pidipagina"/>
        <w:jc w:val="both"/>
        <w:rPr>
          <w:rStyle w:val="Collegamentoipertestuale"/>
          <w:rFonts w:ascii="Arial" w:hAnsi="Arial" w:cs="Arial"/>
          <w:b/>
          <w:color w:val="17365D" w:themeColor="text2" w:themeShade="BF"/>
          <w:sz w:val="20"/>
          <w:u w:val="none"/>
        </w:rPr>
      </w:pPr>
      <w:r w:rsidRPr="00C52464">
        <w:rPr>
          <w:rStyle w:val="Collegamentoipertestuale"/>
          <w:rFonts w:ascii="Arial" w:hAnsi="Arial" w:cs="Arial"/>
          <w:b/>
          <w:color w:val="17365D" w:themeColor="text2" w:themeShade="BF"/>
          <w:sz w:val="20"/>
          <w:u w:val="none"/>
        </w:rPr>
        <w:t>Fig. A – La crescita nel medio-lungo termine</w:t>
      </w:r>
    </w:p>
    <w:p w:rsidR="00807F60" w:rsidRPr="00C52464" w:rsidRDefault="00C52464" w:rsidP="00807F60">
      <w:pPr>
        <w:autoSpaceDE w:val="0"/>
        <w:autoSpaceDN w:val="0"/>
        <w:adjustRightInd w:val="0"/>
        <w:jc w:val="both"/>
        <w:rPr>
          <w:rFonts w:ascii="Verdana" w:hAnsi="Verdana" w:cs="FrutigerLTStd-Cn"/>
          <w:sz w:val="22"/>
          <w:szCs w:val="22"/>
        </w:rPr>
      </w:pPr>
      <w:r>
        <w:rPr>
          <w:rFonts w:ascii="Verdana" w:hAnsi="Verdana" w:cs="FrutigerLTStd-Cn"/>
          <w:noProof/>
          <w:sz w:val="22"/>
          <w:szCs w:val="22"/>
        </w:rPr>
        <w:drawing>
          <wp:inline distT="0" distB="0" distL="0" distR="0">
            <wp:extent cx="4914900" cy="527594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6356" cy="5277510"/>
                    </a:xfrm>
                    <a:prstGeom prst="rect">
                      <a:avLst/>
                    </a:prstGeom>
                  </pic:spPr>
                </pic:pic>
              </a:graphicData>
            </a:graphic>
          </wp:inline>
        </w:drawing>
      </w:r>
    </w:p>
    <w:p w:rsidR="00C52464" w:rsidRDefault="00C52464" w:rsidP="00807F60">
      <w:pPr>
        <w:autoSpaceDE w:val="0"/>
        <w:autoSpaceDN w:val="0"/>
        <w:adjustRightInd w:val="0"/>
        <w:jc w:val="both"/>
        <w:rPr>
          <w:rFonts w:ascii="Verdana" w:hAnsi="Verdana" w:cs="FrutigerLTStd-Cn"/>
          <w:i/>
          <w:sz w:val="18"/>
          <w:szCs w:val="18"/>
        </w:rPr>
      </w:pPr>
    </w:p>
    <w:p w:rsidR="00807F60" w:rsidRPr="00C52464" w:rsidRDefault="00C52464" w:rsidP="00807F60">
      <w:pPr>
        <w:autoSpaceDE w:val="0"/>
        <w:autoSpaceDN w:val="0"/>
        <w:adjustRightInd w:val="0"/>
        <w:jc w:val="both"/>
        <w:rPr>
          <w:rFonts w:ascii="Verdana" w:hAnsi="Verdana" w:cs="FrutigerLTStd-Cn"/>
          <w:i/>
          <w:sz w:val="18"/>
          <w:szCs w:val="18"/>
        </w:rPr>
      </w:pPr>
      <w:r w:rsidRPr="00C52464">
        <w:rPr>
          <w:rFonts w:ascii="Verdana" w:hAnsi="Verdana" w:cs="FrutigerLTStd-Cn"/>
          <w:i/>
          <w:sz w:val="18"/>
          <w:szCs w:val="18"/>
        </w:rPr>
        <w:t>Fonte: elaborazioni Ufficio Studi Confcommercio su dati Commissione europea-AMECO</w:t>
      </w:r>
    </w:p>
    <w:p w:rsidR="00C52464" w:rsidRPr="00C52464" w:rsidRDefault="00C52464" w:rsidP="00807F60">
      <w:pPr>
        <w:autoSpaceDE w:val="0"/>
        <w:autoSpaceDN w:val="0"/>
        <w:adjustRightInd w:val="0"/>
        <w:jc w:val="both"/>
        <w:rPr>
          <w:rFonts w:ascii="Verdana" w:hAnsi="Verdana" w:cs="FrutigerLTStd-Cn"/>
          <w:sz w:val="22"/>
          <w:szCs w:val="22"/>
        </w:rPr>
      </w:pPr>
    </w:p>
    <w:p w:rsidR="00807F60" w:rsidRPr="00A426C7" w:rsidRDefault="00807F60" w:rsidP="00807F60">
      <w:pPr>
        <w:autoSpaceDE w:val="0"/>
        <w:autoSpaceDN w:val="0"/>
        <w:adjustRightInd w:val="0"/>
        <w:jc w:val="both"/>
        <w:rPr>
          <w:rFonts w:ascii="Verdana" w:hAnsi="Verdana" w:cs="FrutigerLTStd-Cn"/>
          <w:sz w:val="22"/>
          <w:szCs w:val="22"/>
        </w:rPr>
      </w:pPr>
      <w:r w:rsidRPr="00A426C7">
        <w:rPr>
          <w:rFonts w:ascii="Verdana" w:hAnsi="Verdana" w:cs="FrutigerLTStd-Cn"/>
          <w:sz w:val="22"/>
          <w:szCs w:val="22"/>
        </w:rPr>
        <w:lastRenderedPageBreak/>
        <w:t>Se si guarda infatti ai due sotto-periodi della tabella A, si può facilmente verificare come in poco più di dieci anni, tra il 1996 ed il 2007, il reddito reale pro capite degli italiani sia cresciuto cumulativamente meno del 15%, circa cinque punti in meno di Francia e Germania, dieci punti in meno della media dell’eurozona, metà della crescita degli Usa e quasi due terzi in meno di quella registrata nel Regno Unito.</w:t>
      </w:r>
    </w:p>
    <w:p w:rsidR="00807F60" w:rsidRPr="00A426C7" w:rsidRDefault="00807F60" w:rsidP="00807F60">
      <w:pPr>
        <w:autoSpaceDE w:val="0"/>
        <w:autoSpaceDN w:val="0"/>
        <w:adjustRightInd w:val="0"/>
        <w:jc w:val="both"/>
        <w:rPr>
          <w:rFonts w:ascii="Verdana" w:hAnsi="Verdana" w:cs="FrutigerLTStd-Cn"/>
          <w:sz w:val="22"/>
          <w:szCs w:val="22"/>
        </w:rPr>
      </w:pPr>
      <w:r w:rsidRPr="00A426C7">
        <w:rPr>
          <w:rFonts w:ascii="Verdana" w:hAnsi="Verdana" w:cs="FrutigerLTStd-Cn"/>
          <w:sz w:val="22"/>
          <w:szCs w:val="22"/>
        </w:rPr>
        <w:t xml:space="preserve">Questo modesto capitale accumulato, rispetto alla performance dei paesi indicati, si è poi rapidamente dissolto nel corso del periodo successivo, tra il 2008 e il 2013, evidenziando una riduzione del </w:t>
      </w:r>
      <w:proofErr w:type="spellStart"/>
      <w:r w:rsidRPr="00A426C7">
        <w:rPr>
          <w:rFonts w:ascii="Verdana" w:hAnsi="Verdana" w:cs="FrutigerLTStd-Cn"/>
          <w:sz w:val="22"/>
          <w:szCs w:val="22"/>
        </w:rPr>
        <w:t>Pil</w:t>
      </w:r>
      <w:proofErr w:type="spellEnd"/>
      <w:r w:rsidRPr="00A426C7">
        <w:rPr>
          <w:rFonts w:ascii="Verdana" w:hAnsi="Verdana" w:cs="FrutigerLTStd-Cn"/>
          <w:sz w:val="22"/>
          <w:szCs w:val="22"/>
        </w:rPr>
        <w:t xml:space="preserve"> pro capite di circa 11 punti percentuali, a causa dello shock recessivo da cui la nostra economia non sembra in grado di riprendersi, soprattutto se si considera che nell’ultimo quinquennio la Germania ha evidenziato una crescita di oltre il 4%, la Francia ha contenuto la perdita in un margine di circa 2 punti percentuali, l’eurozona ha accusato una flessione del 3,5%, il Regno Unito una perdita pari alla metà di quella italiana e gli Usa hanno mostrato un incremento positivo, ancorché modesto, di circa l’1%.</w:t>
      </w:r>
    </w:p>
    <w:p w:rsidR="00807F60" w:rsidRPr="008E5399" w:rsidRDefault="00807F60" w:rsidP="00807F60">
      <w:pPr>
        <w:autoSpaceDE w:val="0"/>
        <w:autoSpaceDN w:val="0"/>
        <w:adjustRightInd w:val="0"/>
        <w:jc w:val="both"/>
        <w:rPr>
          <w:rFonts w:ascii="Verdana" w:hAnsi="Verdana" w:cs="FrutigerLTStd-Cn"/>
          <w:sz w:val="22"/>
          <w:szCs w:val="22"/>
        </w:rPr>
      </w:pPr>
      <w:r w:rsidRPr="008E5399">
        <w:rPr>
          <w:rFonts w:ascii="Verdana" w:hAnsi="Verdana" w:cs="FrutigerLTStd-Cn"/>
          <w:sz w:val="22"/>
          <w:szCs w:val="22"/>
        </w:rPr>
        <w:t>Queste valutazioni meccaniche dovrebbero portare a riconsiderare l’idea che l’euro sia il problema del nostro paese.</w:t>
      </w:r>
      <w:r>
        <w:rPr>
          <w:rFonts w:ascii="Verdana" w:hAnsi="Verdana" w:cs="FrutigerLTStd-Cn"/>
        </w:rPr>
        <w:t xml:space="preserve"> </w:t>
      </w:r>
      <w:r w:rsidRPr="008E5399">
        <w:rPr>
          <w:rFonts w:ascii="Verdana" w:hAnsi="Verdana" w:cs="FrutigerLTStd-Cn"/>
          <w:sz w:val="22"/>
          <w:szCs w:val="22"/>
        </w:rPr>
        <w:t>I difetti strutturali di crescita dell’Italia sono precedenti alla moneta unica e largamente ne prescindono.</w:t>
      </w:r>
    </w:p>
    <w:p w:rsidR="00807F60" w:rsidRPr="008E5399" w:rsidRDefault="00807F60" w:rsidP="00807F60">
      <w:pPr>
        <w:autoSpaceDE w:val="0"/>
        <w:autoSpaceDN w:val="0"/>
        <w:adjustRightInd w:val="0"/>
        <w:jc w:val="both"/>
        <w:rPr>
          <w:rFonts w:ascii="Verdana" w:hAnsi="Verdana" w:cs="FrutigerLTStd-Cn"/>
          <w:sz w:val="22"/>
          <w:szCs w:val="22"/>
        </w:rPr>
      </w:pPr>
      <w:r w:rsidRPr="008E5399">
        <w:rPr>
          <w:rFonts w:ascii="Verdana" w:hAnsi="Verdana" w:cs="FrutigerLTStd-Cn"/>
          <w:sz w:val="22"/>
          <w:szCs w:val="22"/>
        </w:rPr>
        <w:t xml:space="preserve">E’ invece corretto affermare che l’euro ha messo a nudo le suddette debolezze strutturali che hanno prodotto effetti perniciosi in concomitanza con la crisi mondiale cominciata alla fine del 2007. La parte destra della figura A ne chiarisce la portata. I distacchi con la Germania diventano incolmabili: l’Italia si trova in fondo alle graduatorie secondo la crescita del </w:t>
      </w:r>
      <w:proofErr w:type="spellStart"/>
      <w:r w:rsidRPr="008E5399">
        <w:rPr>
          <w:rFonts w:ascii="Verdana" w:hAnsi="Verdana" w:cs="FrutigerLTStd-Cn"/>
          <w:sz w:val="22"/>
          <w:szCs w:val="22"/>
        </w:rPr>
        <w:t>Pil</w:t>
      </w:r>
      <w:proofErr w:type="spellEnd"/>
      <w:r w:rsidRPr="008E5399">
        <w:rPr>
          <w:rFonts w:ascii="Verdana" w:hAnsi="Verdana" w:cs="FrutigerLTStd-Cn"/>
          <w:sz w:val="22"/>
          <w:szCs w:val="22"/>
        </w:rPr>
        <w:t xml:space="preserve"> all’interno di tutti i paesi dell’OCSE.</w:t>
      </w:r>
    </w:p>
    <w:p w:rsidR="00807F60" w:rsidRPr="008E5399" w:rsidRDefault="00807F60" w:rsidP="00807F60">
      <w:pPr>
        <w:autoSpaceDE w:val="0"/>
        <w:autoSpaceDN w:val="0"/>
        <w:adjustRightInd w:val="0"/>
        <w:jc w:val="both"/>
        <w:rPr>
          <w:rFonts w:ascii="Verdana" w:hAnsi="Verdana" w:cs="FrutigerLTStd-Cn"/>
          <w:sz w:val="22"/>
          <w:szCs w:val="22"/>
        </w:rPr>
      </w:pPr>
      <w:r w:rsidRPr="00807F60">
        <w:rPr>
          <w:rFonts w:ascii="Verdana" w:hAnsi="Verdana" w:cs="FrutigerLTStd-Cn"/>
          <w:sz w:val="22"/>
          <w:szCs w:val="22"/>
        </w:rPr>
        <w:t>Infatti, n</w:t>
      </w:r>
      <w:r w:rsidRPr="008E5399">
        <w:rPr>
          <w:rFonts w:ascii="Verdana" w:hAnsi="Verdana" w:cs="FrutigerLTStd-Cn"/>
          <w:sz w:val="22"/>
          <w:szCs w:val="22"/>
        </w:rPr>
        <w:t xml:space="preserve">el confronto con le economie dei 28 paesi dell’Unione europea e con quelle di altri 10 paesi dell’area OCSE, quindi realtà altamente sviluppate, il nostro paese occupa l’ultima posizione nella graduatoria della crescita del </w:t>
      </w:r>
      <w:proofErr w:type="spellStart"/>
      <w:r w:rsidRPr="008E5399">
        <w:rPr>
          <w:rFonts w:ascii="Verdana" w:hAnsi="Verdana" w:cs="FrutigerLTStd-Cn"/>
          <w:sz w:val="22"/>
          <w:szCs w:val="22"/>
        </w:rPr>
        <w:t>Pil</w:t>
      </w:r>
      <w:proofErr w:type="spellEnd"/>
      <w:r w:rsidRPr="008E5399">
        <w:rPr>
          <w:rFonts w:ascii="Verdana" w:hAnsi="Verdana" w:cs="FrutigerLTStd-Cn"/>
          <w:sz w:val="22"/>
          <w:szCs w:val="22"/>
        </w:rPr>
        <w:t xml:space="preserve"> reale pro capite tra il 1995 ed il 2013</w:t>
      </w:r>
      <w:r w:rsidRPr="00807F60">
        <w:rPr>
          <w:rFonts w:ascii="Verdana" w:hAnsi="Verdana" w:cs="FrutigerLTStd-Cn"/>
          <w:sz w:val="22"/>
          <w:szCs w:val="22"/>
        </w:rPr>
        <w:t xml:space="preserve"> (fig. 1)</w:t>
      </w:r>
      <w:r w:rsidRPr="008E5399">
        <w:rPr>
          <w:rFonts w:ascii="Verdana" w:hAnsi="Verdana" w:cs="FrutigerLTStd-Cn"/>
          <w:sz w:val="22"/>
          <w:szCs w:val="22"/>
        </w:rPr>
        <w:t>. In termini cumulati, l’Italia ha fatto registrare un incremento modestissimo, appena superiore al 2%, troppo distante non solo dalle perfo</w:t>
      </w:r>
      <w:r w:rsidRPr="00807F60">
        <w:rPr>
          <w:rFonts w:ascii="Verdana" w:hAnsi="Verdana" w:cs="FrutigerLTStd-Cn"/>
          <w:sz w:val="22"/>
          <w:szCs w:val="22"/>
        </w:rPr>
        <w:t>r</w:t>
      </w:r>
      <w:r w:rsidRPr="008E5399">
        <w:rPr>
          <w:rFonts w:ascii="Verdana" w:hAnsi="Verdana" w:cs="FrutigerLTStd-Cn"/>
          <w:sz w:val="22"/>
          <w:szCs w:val="22"/>
        </w:rPr>
        <w:t>mance dei migliori ma anche dai risultati non eccezionali dei principali partner europei come Francia, Germania, Regno Unito e Spagna.</w:t>
      </w:r>
    </w:p>
    <w:p w:rsidR="00807F60" w:rsidRDefault="00807F60" w:rsidP="00807F60">
      <w:pPr>
        <w:autoSpaceDE w:val="0"/>
        <w:autoSpaceDN w:val="0"/>
        <w:adjustRightInd w:val="0"/>
        <w:jc w:val="both"/>
        <w:rPr>
          <w:rFonts w:ascii="Verdana" w:hAnsi="Verdana" w:cs="FrutigerLTStd-Cn"/>
        </w:rPr>
      </w:pPr>
      <w:r w:rsidRPr="008E5399">
        <w:rPr>
          <w:rFonts w:ascii="Verdana" w:hAnsi="Verdana" w:cs="FrutigerLTStd-Cn"/>
          <w:sz w:val="22"/>
          <w:szCs w:val="22"/>
        </w:rPr>
        <w:t xml:space="preserve">Negli ultimi 18 anni la crescita cumulata del </w:t>
      </w:r>
      <w:proofErr w:type="spellStart"/>
      <w:r w:rsidRPr="008E5399">
        <w:rPr>
          <w:rFonts w:ascii="Verdana" w:hAnsi="Verdana" w:cs="FrutigerLTStd-Cn"/>
          <w:sz w:val="22"/>
          <w:szCs w:val="22"/>
        </w:rPr>
        <w:t>Pil</w:t>
      </w:r>
      <w:proofErr w:type="spellEnd"/>
      <w:r w:rsidRPr="008E5399">
        <w:rPr>
          <w:rFonts w:ascii="Verdana" w:hAnsi="Verdana" w:cs="FrutigerLTStd-Cn"/>
          <w:sz w:val="22"/>
          <w:szCs w:val="22"/>
        </w:rPr>
        <w:t xml:space="preserve"> pro capite ha superato il 40% in Svezia, il 30% in Austria e ha sfiorato il 27% in Olanda, tutte piccole economie efficienti; la crescita è stata superiore al 30% nel Regno Unito e negli Usa, di circa il 25% in Germania e Spagna, poco più rallentata nell’eurozona e in Francia, intorno al 20%.</w:t>
      </w:r>
    </w:p>
    <w:p w:rsidR="00807F60" w:rsidRDefault="00807F60" w:rsidP="00807F60">
      <w:pPr>
        <w:autoSpaceDE w:val="0"/>
        <w:autoSpaceDN w:val="0"/>
        <w:adjustRightInd w:val="0"/>
        <w:jc w:val="both"/>
        <w:rPr>
          <w:rFonts w:ascii="Verdana" w:hAnsi="Verdana" w:cs="FrutigerLTStd-Cn"/>
          <w:sz w:val="22"/>
          <w:szCs w:val="22"/>
        </w:rPr>
      </w:pPr>
    </w:p>
    <w:p w:rsidR="00807F60" w:rsidRPr="00807F60" w:rsidRDefault="00807F60" w:rsidP="00807F60">
      <w:pPr>
        <w:autoSpaceDE w:val="0"/>
        <w:autoSpaceDN w:val="0"/>
        <w:adjustRightInd w:val="0"/>
        <w:jc w:val="both"/>
        <w:rPr>
          <w:rFonts w:ascii="Verdana" w:hAnsi="Verdana" w:cs="FrutigerLTStd-Cn"/>
          <w:sz w:val="22"/>
          <w:szCs w:val="22"/>
        </w:rPr>
      </w:pPr>
    </w:p>
    <w:p w:rsidR="00807F60" w:rsidRDefault="00807F60" w:rsidP="00807F60">
      <w:pPr>
        <w:autoSpaceDE w:val="0"/>
        <w:autoSpaceDN w:val="0"/>
        <w:adjustRightInd w:val="0"/>
        <w:jc w:val="both"/>
        <w:rPr>
          <w:rFonts w:ascii="Verdana" w:hAnsi="Verdana" w:cs="FrutigerLTStd-Cn"/>
        </w:rPr>
      </w:pPr>
      <w:r>
        <w:rPr>
          <w:noProof/>
        </w:rPr>
        <w:lastRenderedPageBreak/>
        <w:drawing>
          <wp:inline distT="0" distB="0" distL="0" distR="0" wp14:anchorId="08607D89" wp14:editId="78BCA883">
            <wp:extent cx="5281008" cy="7334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81008" cy="7334250"/>
                    </a:xfrm>
                    <a:prstGeom prst="rect">
                      <a:avLst/>
                    </a:prstGeom>
                  </pic:spPr>
                </pic:pic>
              </a:graphicData>
            </a:graphic>
          </wp:inline>
        </w:drawing>
      </w:r>
    </w:p>
    <w:p w:rsidR="00807F60" w:rsidRPr="008E5399" w:rsidRDefault="00807F60" w:rsidP="00807F60">
      <w:pPr>
        <w:autoSpaceDE w:val="0"/>
        <w:autoSpaceDN w:val="0"/>
        <w:adjustRightInd w:val="0"/>
        <w:jc w:val="both"/>
        <w:rPr>
          <w:rFonts w:ascii="Verdana" w:hAnsi="Verdana" w:cs="FrutigerLTStd-Cn"/>
          <w:sz w:val="22"/>
          <w:szCs w:val="22"/>
        </w:rPr>
      </w:pPr>
    </w:p>
    <w:p w:rsidR="00807F60" w:rsidRPr="008E5399" w:rsidRDefault="00807F60" w:rsidP="00807F60">
      <w:pPr>
        <w:autoSpaceDE w:val="0"/>
        <w:autoSpaceDN w:val="0"/>
        <w:adjustRightInd w:val="0"/>
        <w:jc w:val="both"/>
        <w:rPr>
          <w:rFonts w:ascii="Verdana" w:hAnsi="Verdana" w:cs="FrutigerLTStd-Cn"/>
          <w:sz w:val="22"/>
          <w:szCs w:val="22"/>
        </w:rPr>
      </w:pPr>
      <w:r w:rsidRPr="008E5399">
        <w:rPr>
          <w:rFonts w:ascii="Verdana" w:hAnsi="Verdana" w:cs="FrutigerLTStd-Cn"/>
          <w:sz w:val="22"/>
          <w:szCs w:val="22"/>
        </w:rPr>
        <w:t>All’origine di questa non invidiabile e peculiare situazione italiana, poss</w:t>
      </w:r>
      <w:r w:rsidRPr="00807F60">
        <w:rPr>
          <w:rFonts w:ascii="Verdana" w:hAnsi="Verdana" w:cs="FrutigerLTStd-Cn"/>
          <w:sz w:val="22"/>
          <w:szCs w:val="22"/>
        </w:rPr>
        <w:t>o</w:t>
      </w:r>
      <w:r w:rsidRPr="008E5399">
        <w:rPr>
          <w:rFonts w:ascii="Verdana" w:hAnsi="Verdana" w:cs="FrutigerLTStd-Cn"/>
          <w:sz w:val="22"/>
          <w:szCs w:val="22"/>
        </w:rPr>
        <w:t>no esserci gap strutturali che concorrono, assieme alla pressione fiscale, a deprimere la crescita.</w:t>
      </w:r>
    </w:p>
    <w:p w:rsidR="00807F60" w:rsidRPr="008E5399" w:rsidRDefault="00807F60" w:rsidP="00807F60">
      <w:pPr>
        <w:autoSpaceDE w:val="0"/>
        <w:autoSpaceDN w:val="0"/>
        <w:adjustRightInd w:val="0"/>
        <w:jc w:val="both"/>
        <w:rPr>
          <w:rFonts w:ascii="Verdana" w:hAnsi="Verdana" w:cs="FrutigerLTStd-Cn"/>
          <w:sz w:val="22"/>
          <w:szCs w:val="22"/>
        </w:rPr>
      </w:pPr>
      <w:r w:rsidRPr="008E5399">
        <w:rPr>
          <w:rFonts w:ascii="Verdana" w:hAnsi="Verdana" w:cs="FrutigerLTStd-Cn"/>
          <w:sz w:val="22"/>
          <w:szCs w:val="22"/>
        </w:rPr>
        <w:t>La figura 2 prende in considerazione alcuni aspetti che incidono in modo continuativo nell’attività di impresa e soprattutto offre una qualche misura di come le variabili di contesto creino o meno condizioni favorevoli all’attività imprenditoriale.</w:t>
      </w:r>
    </w:p>
    <w:p w:rsidR="00807F60" w:rsidRPr="00807F60" w:rsidRDefault="00807F60" w:rsidP="00807F60">
      <w:pPr>
        <w:autoSpaceDE w:val="0"/>
        <w:autoSpaceDN w:val="0"/>
        <w:adjustRightInd w:val="0"/>
        <w:jc w:val="both"/>
        <w:rPr>
          <w:rFonts w:ascii="Verdana" w:hAnsi="Verdana" w:cs="FrutigerLTStd-Cn"/>
          <w:sz w:val="22"/>
          <w:szCs w:val="22"/>
        </w:rPr>
      </w:pPr>
    </w:p>
    <w:p w:rsidR="00807F60" w:rsidRPr="008E5399" w:rsidRDefault="00807F60" w:rsidP="00807F60">
      <w:pPr>
        <w:autoSpaceDE w:val="0"/>
        <w:autoSpaceDN w:val="0"/>
        <w:adjustRightInd w:val="0"/>
        <w:jc w:val="both"/>
        <w:rPr>
          <w:rFonts w:ascii="Verdana" w:hAnsi="Verdana" w:cs="FrutigerLTStd-Cn"/>
          <w:sz w:val="22"/>
          <w:szCs w:val="22"/>
        </w:rPr>
      </w:pPr>
    </w:p>
    <w:p w:rsidR="00807F60" w:rsidRDefault="00807F60" w:rsidP="00807F60">
      <w:pPr>
        <w:autoSpaceDE w:val="0"/>
        <w:autoSpaceDN w:val="0"/>
        <w:adjustRightInd w:val="0"/>
        <w:rPr>
          <w:rFonts w:ascii="FrutigerLTStd-Cn" w:hAnsi="FrutigerLTStd-Cn" w:cs="FrutigerLTStd-Cn"/>
          <w:color w:val="000000"/>
          <w:sz w:val="24"/>
          <w:szCs w:val="24"/>
        </w:rPr>
      </w:pPr>
      <w:r>
        <w:rPr>
          <w:noProof/>
        </w:rPr>
        <w:lastRenderedPageBreak/>
        <w:drawing>
          <wp:inline distT="0" distB="0" distL="0" distR="0" wp14:anchorId="7899AF2F" wp14:editId="3AE2992F">
            <wp:extent cx="5810250" cy="5248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10250" cy="5248275"/>
                    </a:xfrm>
                    <a:prstGeom prst="rect">
                      <a:avLst/>
                    </a:prstGeom>
                  </pic:spPr>
                </pic:pic>
              </a:graphicData>
            </a:graphic>
          </wp:inline>
        </w:drawing>
      </w:r>
    </w:p>
    <w:p w:rsidR="00807F60" w:rsidRPr="008E5399" w:rsidRDefault="00807F60" w:rsidP="00807F60">
      <w:pPr>
        <w:autoSpaceDE w:val="0"/>
        <w:autoSpaceDN w:val="0"/>
        <w:adjustRightInd w:val="0"/>
        <w:jc w:val="both"/>
        <w:rPr>
          <w:rFonts w:ascii="Verdana" w:hAnsi="Verdana"/>
          <w:sz w:val="22"/>
          <w:szCs w:val="22"/>
        </w:rPr>
      </w:pPr>
    </w:p>
    <w:p w:rsidR="00807F60" w:rsidRPr="008E5399" w:rsidRDefault="00807F60" w:rsidP="00807F60">
      <w:pPr>
        <w:autoSpaceDE w:val="0"/>
        <w:autoSpaceDN w:val="0"/>
        <w:adjustRightInd w:val="0"/>
        <w:jc w:val="both"/>
        <w:rPr>
          <w:rFonts w:ascii="Verdana" w:hAnsi="Verdana"/>
          <w:sz w:val="22"/>
          <w:szCs w:val="22"/>
        </w:rPr>
      </w:pPr>
    </w:p>
    <w:p w:rsidR="00807F60" w:rsidRPr="008E5399" w:rsidRDefault="00807F60" w:rsidP="00807F60">
      <w:pPr>
        <w:autoSpaceDE w:val="0"/>
        <w:autoSpaceDN w:val="0"/>
        <w:adjustRightInd w:val="0"/>
        <w:jc w:val="both"/>
        <w:rPr>
          <w:rFonts w:ascii="Verdana" w:hAnsi="Verdana"/>
          <w:sz w:val="22"/>
          <w:szCs w:val="22"/>
        </w:rPr>
      </w:pPr>
      <w:r w:rsidRPr="008E5399">
        <w:rPr>
          <w:rFonts w:ascii="Verdana" w:hAnsi="Verdana" w:cs="FrutigerLTStd-Cn"/>
          <w:sz w:val="22"/>
          <w:szCs w:val="22"/>
        </w:rPr>
        <w:t>L’Italia, rispetto ai soliti principali partner europei, evidenzia una complessità di procedure e di regole, nonché condizioni più sfavorevoli sotto il profilo della struttura dei costi, che inevitabilmente si riflettono in modo negativo sulla produttività totale dei fattori, che spiega gran parte della mancata crescita di lungo periodo. A pesare sulla performance de</w:t>
      </w:r>
      <w:r w:rsidRPr="00807F60">
        <w:rPr>
          <w:rFonts w:ascii="Verdana" w:hAnsi="Verdana" w:cs="FrutigerLTStd-Cn"/>
          <w:sz w:val="22"/>
          <w:szCs w:val="22"/>
        </w:rPr>
        <w:t>lla nostra economia</w:t>
      </w:r>
      <w:r w:rsidRPr="008E5399">
        <w:rPr>
          <w:rFonts w:ascii="Verdana" w:hAnsi="Verdana" w:cs="FrutigerLTStd-Cn"/>
          <w:sz w:val="22"/>
          <w:szCs w:val="22"/>
        </w:rPr>
        <w:t xml:space="preserve"> sono le inefficienze della P.A. </w:t>
      </w:r>
      <w:r w:rsidRPr="00807F60">
        <w:rPr>
          <w:rFonts w:ascii="Verdana" w:hAnsi="Verdana" w:cs="FrutigerLTStd-Cn"/>
          <w:sz w:val="22"/>
          <w:szCs w:val="22"/>
        </w:rPr>
        <w:t xml:space="preserve">- </w:t>
      </w:r>
      <w:r w:rsidRPr="008E5399">
        <w:rPr>
          <w:rFonts w:ascii="Verdana" w:hAnsi="Verdana" w:cs="FrutigerLTStd-Cn"/>
          <w:sz w:val="22"/>
          <w:szCs w:val="22"/>
        </w:rPr>
        <w:t xml:space="preserve">come testimoniato in generale dai modesti valori relativi alla qualità delle </w:t>
      </w:r>
      <w:proofErr w:type="spellStart"/>
      <w:r w:rsidRPr="008E5399">
        <w:rPr>
          <w:rFonts w:ascii="Verdana" w:hAnsi="Verdana" w:cs="FrutigerLTStd-Cn"/>
          <w:sz w:val="22"/>
          <w:szCs w:val="22"/>
        </w:rPr>
        <w:t>governance</w:t>
      </w:r>
      <w:proofErr w:type="spellEnd"/>
      <w:r w:rsidRPr="008E5399">
        <w:rPr>
          <w:rFonts w:ascii="Verdana" w:hAnsi="Verdana" w:cs="FrutigerLTStd-Cn"/>
          <w:sz w:val="22"/>
          <w:szCs w:val="22"/>
        </w:rPr>
        <w:t xml:space="preserve"> e all’efficacia della legislazione (fig. 2) - </w:t>
      </w:r>
      <w:r w:rsidRPr="00807F60">
        <w:rPr>
          <w:rFonts w:ascii="Verdana" w:hAnsi="Verdana" w:cs="FrutigerLTStd-Cn"/>
          <w:sz w:val="22"/>
          <w:szCs w:val="22"/>
        </w:rPr>
        <w:t>le</w:t>
      </w:r>
      <w:r w:rsidRPr="008E5399">
        <w:rPr>
          <w:rFonts w:ascii="Verdana" w:hAnsi="Verdana" w:cs="FrutigerLTStd-Cn"/>
          <w:sz w:val="22"/>
          <w:szCs w:val="22"/>
        </w:rPr>
        <w:t xml:space="preserve"> lungaggini procedurali (tempi di attesa di provvedimenti giurisdizionali), </w:t>
      </w:r>
      <w:r w:rsidRPr="00807F60">
        <w:rPr>
          <w:rFonts w:ascii="Verdana" w:hAnsi="Verdana" w:cs="FrutigerLTStd-Cn"/>
          <w:sz w:val="22"/>
          <w:szCs w:val="22"/>
        </w:rPr>
        <w:t xml:space="preserve">le </w:t>
      </w:r>
      <w:r w:rsidRPr="008E5399">
        <w:rPr>
          <w:rFonts w:ascii="Verdana" w:hAnsi="Verdana" w:cs="FrutigerLTStd-Cn"/>
          <w:sz w:val="22"/>
          <w:szCs w:val="22"/>
        </w:rPr>
        <w:t>farraginosità burocratiche (oneri gravanti sulle imprese per gli adempimenti fiscali e tempi dilatati di pagamento dei debiti commerciali della P.A.) e i più elevati costi di produzione, primo fra tutti quello per l’energia, che porta il nostro paese ad avere una sorta di primato negativo nel prezzo medio per kilowattora, superiore tra il 15% ed il quasi 45% a quello dei paesi oggetto del confronto, con punte più elevate fino a sfiorare il 52% per il segmento delle PMI, che costituiscono la quasi totalità delle imprese italiane.</w:t>
      </w:r>
    </w:p>
    <w:p w:rsidR="00807F60" w:rsidRPr="00807F60" w:rsidRDefault="00807F60" w:rsidP="00807F60">
      <w:pPr>
        <w:pStyle w:val="Corpotesto"/>
        <w:autoSpaceDE w:val="0"/>
        <w:autoSpaceDN w:val="0"/>
        <w:adjustRightInd w:val="0"/>
        <w:rPr>
          <w:rFonts w:ascii="Verdana" w:hAnsi="Verdana"/>
          <w:sz w:val="20"/>
        </w:rPr>
      </w:pPr>
    </w:p>
    <w:sectPr w:rsidR="00807F60" w:rsidRPr="00807F60" w:rsidSect="003132BF">
      <w:footerReference w:type="even" r:id="rId13"/>
      <w:footerReference w:type="default" r:id="rId14"/>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60" w:rsidRDefault="00807F60">
      <w:r>
        <w:separator/>
      </w:r>
    </w:p>
  </w:endnote>
  <w:endnote w:type="continuationSeparator" w:id="0">
    <w:p w:rsidR="00807F60" w:rsidRDefault="0080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0" w:rsidRDefault="00807F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7F60" w:rsidRDefault="00807F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0" w:rsidRDefault="00807F60">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B52E19">
      <w:rPr>
        <w:rStyle w:val="Numeropagina"/>
        <w:noProof/>
        <w:sz w:val="18"/>
      </w:rPr>
      <w:t>2</w:t>
    </w:r>
    <w:r>
      <w:rPr>
        <w:rStyle w:val="Numeropagina"/>
        <w:sz w:val="18"/>
      </w:rPr>
      <w:fldChar w:fldCharType="end"/>
    </w:r>
  </w:p>
  <w:p w:rsidR="00807F60" w:rsidRPr="00421D14" w:rsidRDefault="00807F60">
    <w:pPr>
      <w:pStyle w:val="Pidipagina"/>
      <w:ind w:right="360"/>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60" w:rsidRDefault="00807F60">
      <w:r>
        <w:separator/>
      </w:r>
    </w:p>
  </w:footnote>
  <w:footnote w:type="continuationSeparator" w:id="0">
    <w:p w:rsidR="00807F60" w:rsidRDefault="0080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21B19"/>
    <w:rsid w:val="00027A06"/>
    <w:rsid w:val="00027D82"/>
    <w:rsid w:val="0003230A"/>
    <w:rsid w:val="00034DFB"/>
    <w:rsid w:val="000375BB"/>
    <w:rsid w:val="000423BA"/>
    <w:rsid w:val="000474A3"/>
    <w:rsid w:val="00052FE9"/>
    <w:rsid w:val="00053D6F"/>
    <w:rsid w:val="000613AC"/>
    <w:rsid w:val="00066270"/>
    <w:rsid w:val="00071189"/>
    <w:rsid w:val="00071F8A"/>
    <w:rsid w:val="000779B6"/>
    <w:rsid w:val="0008151E"/>
    <w:rsid w:val="0009020D"/>
    <w:rsid w:val="0009565E"/>
    <w:rsid w:val="000A561C"/>
    <w:rsid w:val="000A5AA1"/>
    <w:rsid w:val="000B32DF"/>
    <w:rsid w:val="000C40F0"/>
    <w:rsid w:val="00100C9E"/>
    <w:rsid w:val="00103833"/>
    <w:rsid w:val="0010460A"/>
    <w:rsid w:val="00107095"/>
    <w:rsid w:val="001077AC"/>
    <w:rsid w:val="00107CB3"/>
    <w:rsid w:val="001154D4"/>
    <w:rsid w:val="00122B70"/>
    <w:rsid w:val="001445F3"/>
    <w:rsid w:val="0014686A"/>
    <w:rsid w:val="00155176"/>
    <w:rsid w:val="00160661"/>
    <w:rsid w:val="001836B8"/>
    <w:rsid w:val="00184971"/>
    <w:rsid w:val="00185147"/>
    <w:rsid w:val="0019135F"/>
    <w:rsid w:val="00193AA4"/>
    <w:rsid w:val="0019689A"/>
    <w:rsid w:val="001B187A"/>
    <w:rsid w:val="001B2B4E"/>
    <w:rsid w:val="001C10D4"/>
    <w:rsid w:val="001C257D"/>
    <w:rsid w:val="001C3896"/>
    <w:rsid w:val="001D44CD"/>
    <w:rsid w:val="001D7312"/>
    <w:rsid w:val="001E7213"/>
    <w:rsid w:val="001F1F60"/>
    <w:rsid w:val="001F250F"/>
    <w:rsid w:val="001F5736"/>
    <w:rsid w:val="00207FB3"/>
    <w:rsid w:val="002133E1"/>
    <w:rsid w:val="00215FC7"/>
    <w:rsid w:val="00230563"/>
    <w:rsid w:val="00234503"/>
    <w:rsid w:val="00244867"/>
    <w:rsid w:val="00255B9A"/>
    <w:rsid w:val="00264AB9"/>
    <w:rsid w:val="00265B95"/>
    <w:rsid w:val="00270C99"/>
    <w:rsid w:val="00272A80"/>
    <w:rsid w:val="00284D54"/>
    <w:rsid w:val="002910A9"/>
    <w:rsid w:val="002A1DC0"/>
    <w:rsid w:val="002A38CB"/>
    <w:rsid w:val="002A7E49"/>
    <w:rsid w:val="002B638E"/>
    <w:rsid w:val="002C63D2"/>
    <w:rsid w:val="002D014A"/>
    <w:rsid w:val="002E4040"/>
    <w:rsid w:val="002E7967"/>
    <w:rsid w:val="002F5858"/>
    <w:rsid w:val="00305509"/>
    <w:rsid w:val="003132BF"/>
    <w:rsid w:val="00314B8B"/>
    <w:rsid w:val="00315EE4"/>
    <w:rsid w:val="00322F5E"/>
    <w:rsid w:val="0033500C"/>
    <w:rsid w:val="00355A9D"/>
    <w:rsid w:val="00357018"/>
    <w:rsid w:val="00363CB5"/>
    <w:rsid w:val="00372EE8"/>
    <w:rsid w:val="003850FD"/>
    <w:rsid w:val="00385EBF"/>
    <w:rsid w:val="00393AED"/>
    <w:rsid w:val="00394728"/>
    <w:rsid w:val="00394B9C"/>
    <w:rsid w:val="003B20A7"/>
    <w:rsid w:val="003C26C0"/>
    <w:rsid w:val="003C2F61"/>
    <w:rsid w:val="003C3259"/>
    <w:rsid w:val="003C53B4"/>
    <w:rsid w:val="003D35B8"/>
    <w:rsid w:val="003E23E8"/>
    <w:rsid w:val="003E6B73"/>
    <w:rsid w:val="003F1CF3"/>
    <w:rsid w:val="00411181"/>
    <w:rsid w:val="00412CE3"/>
    <w:rsid w:val="00416E0F"/>
    <w:rsid w:val="0041732B"/>
    <w:rsid w:val="00421D14"/>
    <w:rsid w:val="0042224F"/>
    <w:rsid w:val="00424437"/>
    <w:rsid w:val="004277C3"/>
    <w:rsid w:val="00430E01"/>
    <w:rsid w:val="00435DB9"/>
    <w:rsid w:val="004418EB"/>
    <w:rsid w:val="0044362E"/>
    <w:rsid w:val="00444A20"/>
    <w:rsid w:val="00457D77"/>
    <w:rsid w:val="00460FE4"/>
    <w:rsid w:val="004622BA"/>
    <w:rsid w:val="0046338C"/>
    <w:rsid w:val="0049247F"/>
    <w:rsid w:val="00494724"/>
    <w:rsid w:val="004970E3"/>
    <w:rsid w:val="004A7EBA"/>
    <w:rsid w:val="004B5310"/>
    <w:rsid w:val="004D2E8A"/>
    <w:rsid w:val="004D4B84"/>
    <w:rsid w:val="004D5A1E"/>
    <w:rsid w:val="004E49CD"/>
    <w:rsid w:val="004F43DE"/>
    <w:rsid w:val="00502E79"/>
    <w:rsid w:val="0051066C"/>
    <w:rsid w:val="0051687B"/>
    <w:rsid w:val="0052401B"/>
    <w:rsid w:val="00526C01"/>
    <w:rsid w:val="005335F9"/>
    <w:rsid w:val="00535165"/>
    <w:rsid w:val="005375E5"/>
    <w:rsid w:val="005405A4"/>
    <w:rsid w:val="0054766F"/>
    <w:rsid w:val="005539E5"/>
    <w:rsid w:val="00560AD1"/>
    <w:rsid w:val="005643D3"/>
    <w:rsid w:val="00575382"/>
    <w:rsid w:val="0057577B"/>
    <w:rsid w:val="00596C48"/>
    <w:rsid w:val="005A54D8"/>
    <w:rsid w:val="005B378F"/>
    <w:rsid w:val="005B6799"/>
    <w:rsid w:val="005C120C"/>
    <w:rsid w:val="005D4495"/>
    <w:rsid w:val="005D75F1"/>
    <w:rsid w:val="005E4CDB"/>
    <w:rsid w:val="005F02C9"/>
    <w:rsid w:val="005F4654"/>
    <w:rsid w:val="005F5A73"/>
    <w:rsid w:val="00601026"/>
    <w:rsid w:val="00603B75"/>
    <w:rsid w:val="006050E6"/>
    <w:rsid w:val="00605B9E"/>
    <w:rsid w:val="00606A0F"/>
    <w:rsid w:val="00611BEE"/>
    <w:rsid w:val="006213EA"/>
    <w:rsid w:val="006404CE"/>
    <w:rsid w:val="00645838"/>
    <w:rsid w:val="00682BFB"/>
    <w:rsid w:val="0068580D"/>
    <w:rsid w:val="00685FEA"/>
    <w:rsid w:val="00686CB4"/>
    <w:rsid w:val="00690DFD"/>
    <w:rsid w:val="006A294E"/>
    <w:rsid w:val="006A5875"/>
    <w:rsid w:val="006C1A5A"/>
    <w:rsid w:val="006D0554"/>
    <w:rsid w:val="006D53F8"/>
    <w:rsid w:val="006E557C"/>
    <w:rsid w:val="006F62EA"/>
    <w:rsid w:val="006F7643"/>
    <w:rsid w:val="00700854"/>
    <w:rsid w:val="007120EA"/>
    <w:rsid w:val="007252DD"/>
    <w:rsid w:val="00725916"/>
    <w:rsid w:val="007320AC"/>
    <w:rsid w:val="00733896"/>
    <w:rsid w:val="00734DE2"/>
    <w:rsid w:val="00737E00"/>
    <w:rsid w:val="00742DD6"/>
    <w:rsid w:val="00757E3B"/>
    <w:rsid w:val="007753AF"/>
    <w:rsid w:val="00780D99"/>
    <w:rsid w:val="0078605A"/>
    <w:rsid w:val="0079088E"/>
    <w:rsid w:val="007A4912"/>
    <w:rsid w:val="007B37B5"/>
    <w:rsid w:val="007B6ADA"/>
    <w:rsid w:val="007C6AFF"/>
    <w:rsid w:val="007D4469"/>
    <w:rsid w:val="007E20CA"/>
    <w:rsid w:val="007E7968"/>
    <w:rsid w:val="007F2024"/>
    <w:rsid w:val="00800D0A"/>
    <w:rsid w:val="008022C0"/>
    <w:rsid w:val="00807F60"/>
    <w:rsid w:val="00812596"/>
    <w:rsid w:val="008321C2"/>
    <w:rsid w:val="00836597"/>
    <w:rsid w:val="00845212"/>
    <w:rsid w:val="00846AF1"/>
    <w:rsid w:val="008611A6"/>
    <w:rsid w:val="00873EE1"/>
    <w:rsid w:val="0089178A"/>
    <w:rsid w:val="008978CC"/>
    <w:rsid w:val="008A45FD"/>
    <w:rsid w:val="008A642F"/>
    <w:rsid w:val="008A6444"/>
    <w:rsid w:val="008A7B9D"/>
    <w:rsid w:val="008B2B94"/>
    <w:rsid w:val="008D18CD"/>
    <w:rsid w:val="009158CF"/>
    <w:rsid w:val="00921713"/>
    <w:rsid w:val="009248DB"/>
    <w:rsid w:val="00925C54"/>
    <w:rsid w:val="0093735A"/>
    <w:rsid w:val="009376E6"/>
    <w:rsid w:val="00940D75"/>
    <w:rsid w:val="0095136F"/>
    <w:rsid w:val="00967F61"/>
    <w:rsid w:val="00975F75"/>
    <w:rsid w:val="00976624"/>
    <w:rsid w:val="009777C8"/>
    <w:rsid w:val="00980DAB"/>
    <w:rsid w:val="00981405"/>
    <w:rsid w:val="00987A5E"/>
    <w:rsid w:val="00995D4E"/>
    <w:rsid w:val="009A051C"/>
    <w:rsid w:val="009A0FFC"/>
    <w:rsid w:val="009C584B"/>
    <w:rsid w:val="009C5B01"/>
    <w:rsid w:val="009D24CF"/>
    <w:rsid w:val="00A02491"/>
    <w:rsid w:val="00A2129C"/>
    <w:rsid w:val="00A33738"/>
    <w:rsid w:val="00A37760"/>
    <w:rsid w:val="00A414A4"/>
    <w:rsid w:val="00A45811"/>
    <w:rsid w:val="00A61F34"/>
    <w:rsid w:val="00AB598B"/>
    <w:rsid w:val="00AB60C9"/>
    <w:rsid w:val="00AB7E31"/>
    <w:rsid w:val="00AC0D34"/>
    <w:rsid w:val="00AD1860"/>
    <w:rsid w:val="00AD1D5D"/>
    <w:rsid w:val="00AE35E3"/>
    <w:rsid w:val="00AE6062"/>
    <w:rsid w:val="00B07F28"/>
    <w:rsid w:val="00B1563D"/>
    <w:rsid w:val="00B27753"/>
    <w:rsid w:val="00B332B8"/>
    <w:rsid w:val="00B34ADD"/>
    <w:rsid w:val="00B415FE"/>
    <w:rsid w:val="00B424E6"/>
    <w:rsid w:val="00B5079C"/>
    <w:rsid w:val="00B52E19"/>
    <w:rsid w:val="00B657C5"/>
    <w:rsid w:val="00B76515"/>
    <w:rsid w:val="00B7665A"/>
    <w:rsid w:val="00B779E3"/>
    <w:rsid w:val="00B81AC4"/>
    <w:rsid w:val="00B86083"/>
    <w:rsid w:val="00BA6FBF"/>
    <w:rsid w:val="00BB5453"/>
    <w:rsid w:val="00BB550D"/>
    <w:rsid w:val="00BC3780"/>
    <w:rsid w:val="00BC57C6"/>
    <w:rsid w:val="00BD13D2"/>
    <w:rsid w:val="00BD7781"/>
    <w:rsid w:val="00BF001C"/>
    <w:rsid w:val="00BF0488"/>
    <w:rsid w:val="00BF0D27"/>
    <w:rsid w:val="00BF3C2C"/>
    <w:rsid w:val="00BF5B15"/>
    <w:rsid w:val="00C05F9F"/>
    <w:rsid w:val="00C1141C"/>
    <w:rsid w:val="00C270F9"/>
    <w:rsid w:val="00C27DA3"/>
    <w:rsid w:val="00C427C2"/>
    <w:rsid w:val="00C433A8"/>
    <w:rsid w:val="00C475A0"/>
    <w:rsid w:val="00C52464"/>
    <w:rsid w:val="00C52F2F"/>
    <w:rsid w:val="00C538E7"/>
    <w:rsid w:val="00C53C04"/>
    <w:rsid w:val="00C55BA5"/>
    <w:rsid w:val="00C61EE8"/>
    <w:rsid w:val="00C6684C"/>
    <w:rsid w:val="00C717E1"/>
    <w:rsid w:val="00C85DE2"/>
    <w:rsid w:val="00C97692"/>
    <w:rsid w:val="00CB17DF"/>
    <w:rsid w:val="00CB77C0"/>
    <w:rsid w:val="00CC1E62"/>
    <w:rsid w:val="00CD2B90"/>
    <w:rsid w:val="00CD5301"/>
    <w:rsid w:val="00CF0339"/>
    <w:rsid w:val="00CF3B31"/>
    <w:rsid w:val="00D10AFC"/>
    <w:rsid w:val="00D15EE1"/>
    <w:rsid w:val="00D2291E"/>
    <w:rsid w:val="00D24DF7"/>
    <w:rsid w:val="00D264F0"/>
    <w:rsid w:val="00D34CFF"/>
    <w:rsid w:val="00D56621"/>
    <w:rsid w:val="00D65B33"/>
    <w:rsid w:val="00D70BB1"/>
    <w:rsid w:val="00D712E6"/>
    <w:rsid w:val="00D76096"/>
    <w:rsid w:val="00D8720F"/>
    <w:rsid w:val="00D9151F"/>
    <w:rsid w:val="00DB0765"/>
    <w:rsid w:val="00DB6E79"/>
    <w:rsid w:val="00DC29F7"/>
    <w:rsid w:val="00DC2DDC"/>
    <w:rsid w:val="00DC4779"/>
    <w:rsid w:val="00DD47BE"/>
    <w:rsid w:val="00DE3DE1"/>
    <w:rsid w:val="00DF7C59"/>
    <w:rsid w:val="00E10C28"/>
    <w:rsid w:val="00E11657"/>
    <w:rsid w:val="00E12AC0"/>
    <w:rsid w:val="00E261D7"/>
    <w:rsid w:val="00E26584"/>
    <w:rsid w:val="00E30D12"/>
    <w:rsid w:val="00E371E9"/>
    <w:rsid w:val="00E37F2C"/>
    <w:rsid w:val="00E42317"/>
    <w:rsid w:val="00E50358"/>
    <w:rsid w:val="00E66EC0"/>
    <w:rsid w:val="00E66F45"/>
    <w:rsid w:val="00E71C07"/>
    <w:rsid w:val="00E7255B"/>
    <w:rsid w:val="00E76A99"/>
    <w:rsid w:val="00E85F94"/>
    <w:rsid w:val="00EA1226"/>
    <w:rsid w:val="00EB33C0"/>
    <w:rsid w:val="00EB5A1C"/>
    <w:rsid w:val="00EC15D0"/>
    <w:rsid w:val="00EC3A6E"/>
    <w:rsid w:val="00EC6316"/>
    <w:rsid w:val="00ED4CFC"/>
    <w:rsid w:val="00F05050"/>
    <w:rsid w:val="00F11A2C"/>
    <w:rsid w:val="00F20A55"/>
    <w:rsid w:val="00F21E3E"/>
    <w:rsid w:val="00F23A9E"/>
    <w:rsid w:val="00F3572B"/>
    <w:rsid w:val="00F35806"/>
    <w:rsid w:val="00F41C1F"/>
    <w:rsid w:val="00F446A9"/>
    <w:rsid w:val="00F52D53"/>
    <w:rsid w:val="00F53207"/>
    <w:rsid w:val="00F56E55"/>
    <w:rsid w:val="00F62835"/>
    <w:rsid w:val="00F63BE3"/>
    <w:rsid w:val="00F72B40"/>
    <w:rsid w:val="00F83137"/>
    <w:rsid w:val="00F8461A"/>
    <w:rsid w:val="00F91040"/>
    <w:rsid w:val="00F978CB"/>
    <w:rsid w:val="00FA245D"/>
    <w:rsid w:val="00FB4E4B"/>
    <w:rsid w:val="00FC3400"/>
    <w:rsid w:val="00FC49C7"/>
    <w:rsid w:val="00FC5CCE"/>
    <w:rsid w:val="00FF4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semiHidden/>
    <w:rsid w:val="00D8720F"/>
    <w:rPr>
      <w:rFonts w:ascii="Times New Roman" w:eastAsia="Times New Roman" w:hAnsi="Times New Roman"/>
    </w:rPr>
  </w:style>
  <w:style w:type="paragraph" w:styleId="Testonormale">
    <w:name w:val="Plain Text"/>
    <w:basedOn w:val="Normale"/>
    <w:link w:val="TestonormaleCarattere"/>
    <w:uiPriority w:val="99"/>
    <w:semiHidden/>
    <w:unhideWhenUsed/>
    <w:rsid w:val="00E37F2C"/>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E37F2C"/>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semiHidden/>
    <w:pPr>
      <w:ind w:left="284" w:hanging="284"/>
      <w:jc w:val="both"/>
    </w:pPr>
    <w:rPr>
      <w:rFonts w:ascii="Times New Roman" w:eastAsia="Times New Roman" w:hAnsi="Times New Roman"/>
      <w:sz w:val="20"/>
    </w:rPr>
  </w:style>
  <w:style w:type="character" w:styleId="Rimandonotaapidipagina">
    <w:name w:val="footnote reference"/>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semiHidden/>
    <w:rsid w:val="00D8720F"/>
    <w:rPr>
      <w:rFonts w:ascii="Times New Roman" w:eastAsia="Times New Roman" w:hAnsi="Times New Roman"/>
    </w:rPr>
  </w:style>
  <w:style w:type="paragraph" w:styleId="Testonormale">
    <w:name w:val="Plain Text"/>
    <w:basedOn w:val="Normale"/>
    <w:link w:val="TestonormaleCarattere"/>
    <w:uiPriority w:val="99"/>
    <w:semiHidden/>
    <w:unhideWhenUsed/>
    <w:rsid w:val="00E37F2C"/>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E37F2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8755">
      <w:bodyDiv w:val="1"/>
      <w:marLeft w:val="0"/>
      <w:marRight w:val="0"/>
      <w:marTop w:val="0"/>
      <w:marBottom w:val="0"/>
      <w:divBdr>
        <w:top w:val="none" w:sz="0" w:space="0" w:color="auto"/>
        <w:left w:val="none" w:sz="0" w:space="0" w:color="auto"/>
        <w:bottom w:val="none" w:sz="0" w:space="0" w:color="auto"/>
        <w:right w:val="none" w:sz="0" w:space="0" w:color="auto"/>
      </w:divBdr>
    </w:div>
    <w:div w:id="17542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DBBB15-33A7-4BB9-A1E8-4F76CD0F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795</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5214</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7</cp:revision>
  <cp:lastPrinted>2014-08-06T13:03:00Z</cp:lastPrinted>
  <dcterms:created xsi:type="dcterms:W3CDTF">2014-08-06T13:13:00Z</dcterms:created>
  <dcterms:modified xsi:type="dcterms:W3CDTF">2014-08-08T07:23:00Z</dcterms:modified>
</cp:coreProperties>
</file>