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AC" w:rsidRDefault="00372EE8">
      <w:pPr>
        <w:jc w:val="right"/>
        <w:rPr>
          <w:rFonts w:ascii="Verdana" w:hAnsi="Verdana"/>
          <w:b/>
          <w:bCs/>
          <w:sz w:val="20"/>
        </w:rPr>
      </w:pPr>
      <w:r>
        <w:rPr>
          <w:rFonts w:ascii="Verdana" w:hAnsi="Verdana"/>
          <w:noProof/>
          <w:sz w:val="22"/>
        </w:rPr>
        <w:drawing>
          <wp:anchor distT="0" distB="0" distL="114300" distR="114300" simplePos="0" relativeHeight="251657728" behindDoc="0" locked="0" layoutInCell="1" allowOverlap="1">
            <wp:simplePos x="0" y="0"/>
            <wp:positionH relativeFrom="column">
              <wp:posOffset>149225</wp:posOffset>
            </wp:positionH>
            <wp:positionV relativeFrom="paragraph">
              <wp:posOffset>-408940</wp:posOffset>
            </wp:positionV>
            <wp:extent cx="2400300" cy="106553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7AC">
        <w:rPr>
          <w:rFonts w:ascii="Verdana" w:hAnsi="Verdana"/>
          <w:b/>
          <w:bCs/>
          <w:sz w:val="20"/>
        </w:rPr>
        <w:t>DIREZIONE COMUNICAZIONE E IMMAGINE</w:t>
      </w:r>
    </w:p>
    <w:p w:rsidR="001077AC" w:rsidRDefault="001077AC">
      <w:pPr>
        <w:jc w:val="right"/>
        <w:rPr>
          <w:rFonts w:ascii="Verdana" w:hAnsi="Verdana"/>
          <w:sz w:val="22"/>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UFFICIO STAMPA</w:t>
      </w:r>
    </w:p>
    <w:p w:rsidR="00CB77C0" w:rsidRDefault="00CB77C0">
      <w:pPr>
        <w:jc w:val="right"/>
        <w:rPr>
          <w:rFonts w:ascii="Verdana" w:hAnsi="Verdana"/>
          <w:sz w:val="20"/>
        </w:rPr>
      </w:pPr>
    </w:p>
    <w:p w:rsidR="00E66F45" w:rsidRDefault="00E66F45">
      <w:pPr>
        <w:jc w:val="right"/>
        <w:rPr>
          <w:rFonts w:ascii="Verdana" w:hAnsi="Verdana"/>
          <w:sz w:val="20"/>
        </w:rPr>
      </w:pPr>
    </w:p>
    <w:p w:rsidR="001077AC" w:rsidRDefault="001077AC">
      <w:pPr>
        <w:ind w:firstLine="708"/>
        <w:jc w:val="both"/>
        <w:rPr>
          <w:rFonts w:ascii="Verdana" w:hAnsi="Verdana"/>
          <w:sz w:val="20"/>
        </w:rPr>
      </w:pPr>
      <w:bookmarkStart w:id="0" w:name="_GoBack"/>
      <w:bookmarkEnd w:id="0"/>
    </w:p>
    <w:p w:rsidR="0003230A" w:rsidRPr="000613AC" w:rsidRDefault="0003230A" w:rsidP="003C26C0">
      <w:pPr>
        <w:pStyle w:val="Corpodeltesto2"/>
        <w:rPr>
          <w:rFonts w:ascii="Verdana" w:hAnsi="Verdana"/>
          <w:b w:val="0"/>
          <w:sz w:val="22"/>
          <w:szCs w:val="22"/>
          <w:u w:val="single"/>
        </w:rPr>
      </w:pPr>
    </w:p>
    <w:p w:rsidR="0003230A" w:rsidRPr="003C26C0" w:rsidRDefault="0003230A" w:rsidP="003C26C0">
      <w:pPr>
        <w:pStyle w:val="Corpodeltesto2"/>
        <w:rPr>
          <w:rFonts w:ascii="Verdana" w:hAnsi="Verdana"/>
          <w:b w:val="0"/>
          <w:sz w:val="20"/>
          <w:szCs w:val="20"/>
        </w:rPr>
      </w:pPr>
    </w:p>
    <w:p w:rsidR="003A7106" w:rsidRDefault="003A7106" w:rsidP="000C549D">
      <w:pPr>
        <w:autoSpaceDE w:val="0"/>
        <w:autoSpaceDN w:val="0"/>
        <w:adjustRightInd w:val="0"/>
        <w:ind w:firstLine="709"/>
        <w:jc w:val="both"/>
        <w:rPr>
          <w:rFonts w:ascii="Arial" w:hAnsi="Arial" w:cs="Arial"/>
          <w:sz w:val="24"/>
          <w:szCs w:val="24"/>
        </w:rPr>
      </w:pPr>
    </w:p>
    <w:tbl>
      <w:tblPr>
        <w:tblW w:w="8577" w:type="dxa"/>
        <w:jc w:val="center"/>
        <w:tblInd w:w="-138" w:type="dxa"/>
        <w:tblCellMar>
          <w:left w:w="70" w:type="dxa"/>
          <w:right w:w="70" w:type="dxa"/>
        </w:tblCellMar>
        <w:tblLook w:val="04A0" w:firstRow="1" w:lastRow="0" w:firstColumn="1" w:lastColumn="0" w:noHBand="0" w:noVBand="1"/>
      </w:tblPr>
      <w:tblGrid>
        <w:gridCol w:w="1938"/>
        <w:gridCol w:w="1869"/>
        <w:gridCol w:w="1869"/>
        <w:gridCol w:w="1580"/>
        <w:gridCol w:w="1321"/>
      </w:tblGrid>
      <w:tr w:rsidR="003A7106" w:rsidRPr="003A7106" w:rsidTr="003A7106">
        <w:trPr>
          <w:trHeight w:val="315"/>
          <w:jc w:val="center"/>
        </w:trPr>
        <w:tc>
          <w:tcPr>
            <w:tcW w:w="8577" w:type="dxa"/>
            <w:gridSpan w:val="5"/>
            <w:tcBorders>
              <w:top w:val="nil"/>
              <w:left w:val="nil"/>
              <w:bottom w:val="double" w:sz="6" w:space="0" w:color="auto"/>
              <w:right w:val="nil"/>
            </w:tcBorders>
            <w:shd w:val="clear" w:color="auto" w:fill="auto"/>
            <w:noWrap/>
            <w:vAlign w:val="center"/>
            <w:hideMark/>
          </w:tcPr>
          <w:p w:rsidR="003A7106" w:rsidRPr="003A7106" w:rsidRDefault="003A7106" w:rsidP="003A7106">
            <w:pPr>
              <w:jc w:val="center"/>
              <w:rPr>
                <w:rFonts w:ascii="Arial" w:eastAsia="Times New Roman" w:hAnsi="Arial" w:cs="Arial"/>
                <w:b/>
                <w:bCs/>
                <w:color w:val="000000"/>
                <w:sz w:val="20"/>
              </w:rPr>
            </w:pPr>
            <w:r w:rsidRPr="003A7106">
              <w:rPr>
                <w:rFonts w:ascii="Arial" w:eastAsia="Times New Roman" w:hAnsi="Arial" w:cs="Arial"/>
                <w:b/>
                <w:bCs/>
                <w:color w:val="000000"/>
                <w:sz w:val="20"/>
              </w:rPr>
              <w:t xml:space="preserve">Tabella 1: Prezzi, disoccupazione e </w:t>
            </w:r>
            <w:proofErr w:type="spellStart"/>
            <w:r w:rsidRPr="003A7106">
              <w:rPr>
                <w:rFonts w:ascii="Arial" w:eastAsia="Times New Roman" w:hAnsi="Arial" w:cs="Arial"/>
                <w:b/>
                <w:bCs/>
                <w:color w:val="000000"/>
                <w:sz w:val="20"/>
              </w:rPr>
              <w:t>Misery</w:t>
            </w:r>
            <w:proofErr w:type="spellEnd"/>
            <w:r w:rsidRPr="003A7106">
              <w:rPr>
                <w:rFonts w:ascii="Arial" w:eastAsia="Times New Roman" w:hAnsi="Arial" w:cs="Arial"/>
                <w:b/>
                <w:bCs/>
                <w:color w:val="000000"/>
                <w:sz w:val="20"/>
              </w:rPr>
              <w:t xml:space="preserve"> Index Confcommercio (MIC) in Italia</w:t>
            </w:r>
          </w:p>
        </w:tc>
      </w:tr>
      <w:tr w:rsidR="003A7106" w:rsidRPr="003A7106" w:rsidTr="003A7106">
        <w:trPr>
          <w:trHeight w:val="705"/>
          <w:jc w:val="center"/>
        </w:trPr>
        <w:tc>
          <w:tcPr>
            <w:tcW w:w="1938" w:type="dxa"/>
            <w:tcBorders>
              <w:top w:val="nil"/>
              <w:left w:val="nil"/>
              <w:bottom w:val="single" w:sz="8" w:space="0" w:color="auto"/>
              <w:right w:val="nil"/>
            </w:tcBorders>
            <w:shd w:val="clear" w:color="auto" w:fill="auto"/>
            <w:vAlign w:val="center"/>
            <w:hideMark/>
          </w:tcPr>
          <w:p w:rsidR="003A7106" w:rsidRPr="003A7106" w:rsidRDefault="003A7106" w:rsidP="003A7106">
            <w:pPr>
              <w:rPr>
                <w:rFonts w:ascii="Arial" w:eastAsia="Times New Roman" w:hAnsi="Arial" w:cs="Arial"/>
                <w:b/>
                <w:bCs/>
                <w:color w:val="000000"/>
                <w:sz w:val="16"/>
                <w:szCs w:val="16"/>
              </w:rPr>
            </w:pPr>
            <w:r w:rsidRPr="003A7106">
              <w:rPr>
                <w:rFonts w:ascii="Arial" w:eastAsia="Times New Roman" w:hAnsi="Arial" w:cs="Arial"/>
                <w:b/>
                <w:bCs/>
                <w:color w:val="000000"/>
                <w:sz w:val="16"/>
                <w:szCs w:val="16"/>
              </w:rPr>
              <w:t>anno</w:t>
            </w:r>
          </w:p>
        </w:tc>
        <w:tc>
          <w:tcPr>
            <w:tcW w:w="1869" w:type="dxa"/>
            <w:tcBorders>
              <w:top w:val="nil"/>
              <w:left w:val="nil"/>
              <w:bottom w:val="single" w:sz="8" w:space="0" w:color="auto"/>
              <w:right w:val="nil"/>
            </w:tcBorders>
            <w:shd w:val="clear" w:color="auto" w:fill="auto"/>
            <w:vAlign w:val="center"/>
            <w:hideMark/>
          </w:tcPr>
          <w:p w:rsidR="003A7106" w:rsidRPr="003A7106" w:rsidRDefault="003A7106" w:rsidP="003A7106">
            <w:pPr>
              <w:jc w:val="center"/>
              <w:rPr>
                <w:rFonts w:ascii="Arial" w:eastAsia="Times New Roman" w:hAnsi="Arial" w:cs="Arial"/>
                <w:b/>
                <w:bCs/>
                <w:color w:val="000000"/>
                <w:sz w:val="16"/>
                <w:szCs w:val="16"/>
              </w:rPr>
            </w:pPr>
            <w:r w:rsidRPr="003A7106">
              <w:rPr>
                <w:rFonts w:ascii="Arial" w:eastAsia="Times New Roman" w:hAnsi="Arial" w:cs="Arial"/>
                <w:b/>
                <w:bCs/>
                <w:color w:val="000000"/>
                <w:sz w:val="16"/>
                <w:szCs w:val="16"/>
              </w:rPr>
              <w:t>disoccupazione ufficiale (%)</w:t>
            </w:r>
          </w:p>
        </w:tc>
        <w:tc>
          <w:tcPr>
            <w:tcW w:w="1869" w:type="dxa"/>
            <w:tcBorders>
              <w:top w:val="nil"/>
              <w:left w:val="nil"/>
              <w:bottom w:val="single" w:sz="8" w:space="0" w:color="auto"/>
              <w:right w:val="nil"/>
            </w:tcBorders>
            <w:shd w:val="clear" w:color="auto" w:fill="auto"/>
            <w:vAlign w:val="center"/>
            <w:hideMark/>
          </w:tcPr>
          <w:p w:rsidR="003A7106" w:rsidRPr="003A7106" w:rsidRDefault="003A7106" w:rsidP="003A7106">
            <w:pPr>
              <w:jc w:val="center"/>
              <w:rPr>
                <w:rFonts w:ascii="Arial" w:eastAsia="Times New Roman" w:hAnsi="Arial" w:cs="Arial"/>
                <w:b/>
                <w:bCs/>
                <w:color w:val="000000"/>
                <w:sz w:val="16"/>
                <w:szCs w:val="16"/>
              </w:rPr>
            </w:pPr>
            <w:r w:rsidRPr="003A7106">
              <w:rPr>
                <w:rFonts w:ascii="Arial" w:eastAsia="Times New Roman" w:hAnsi="Arial" w:cs="Arial"/>
                <w:b/>
                <w:bCs/>
                <w:color w:val="000000"/>
                <w:sz w:val="16"/>
                <w:szCs w:val="16"/>
              </w:rPr>
              <w:t>disoccupazione estesa (%) *</w:t>
            </w:r>
          </w:p>
        </w:tc>
        <w:tc>
          <w:tcPr>
            <w:tcW w:w="1580" w:type="dxa"/>
            <w:tcBorders>
              <w:top w:val="nil"/>
              <w:left w:val="nil"/>
              <w:bottom w:val="single" w:sz="8" w:space="0" w:color="auto"/>
              <w:right w:val="nil"/>
            </w:tcBorders>
            <w:shd w:val="clear" w:color="auto" w:fill="auto"/>
            <w:vAlign w:val="center"/>
            <w:hideMark/>
          </w:tcPr>
          <w:p w:rsidR="003A7106" w:rsidRPr="003A7106" w:rsidRDefault="003A7106" w:rsidP="003A7106">
            <w:pPr>
              <w:jc w:val="center"/>
              <w:rPr>
                <w:rFonts w:ascii="Arial" w:eastAsia="Times New Roman" w:hAnsi="Arial" w:cs="Arial"/>
                <w:b/>
                <w:bCs/>
                <w:color w:val="000000"/>
                <w:sz w:val="16"/>
                <w:szCs w:val="16"/>
              </w:rPr>
            </w:pPr>
            <w:r w:rsidRPr="003A7106">
              <w:rPr>
                <w:rFonts w:ascii="Arial" w:eastAsia="Times New Roman" w:hAnsi="Arial" w:cs="Arial"/>
                <w:b/>
                <w:bCs/>
                <w:color w:val="000000"/>
                <w:sz w:val="16"/>
                <w:szCs w:val="16"/>
              </w:rPr>
              <w:t>Δ% prezzi-alta frequenza di acquisto</w:t>
            </w:r>
          </w:p>
        </w:tc>
        <w:tc>
          <w:tcPr>
            <w:tcW w:w="1321" w:type="dxa"/>
            <w:tcBorders>
              <w:top w:val="nil"/>
              <w:left w:val="nil"/>
              <w:bottom w:val="single" w:sz="8" w:space="0" w:color="auto"/>
              <w:right w:val="nil"/>
            </w:tcBorders>
            <w:shd w:val="clear" w:color="auto" w:fill="auto"/>
            <w:vAlign w:val="center"/>
            <w:hideMark/>
          </w:tcPr>
          <w:p w:rsidR="003A7106" w:rsidRPr="003A7106" w:rsidRDefault="003A7106" w:rsidP="003A7106">
            <w:pPr>
              <w:jc w:val="center"/>
              <w:rPr>
                <w:rFonts w:ascii="Arial" w:eastAsia="Times New Roman" w:hAnsi="Arial" w:cs="Arial"/>
                <w:b/>
                <w:bCs/>
                <w:color w:val="000000"/>
                <w:sz w:val="16"/>
                <w:szCs w:val="16"/>
              </w:rPr>
            </w:pPr>
            <w:r w:rsidRPr="003A7106">
              <w:rPr>
                <w:rFonts w:ascii="Arial" w:eastAsia="Times New Roman" w:hAnsi="Arial" w:cs="Arial"/>
                <w:b/>
                <w:bCs/>
                <w:color w:val="000000"/>
                <w:sz w:val="16"/>
                <w:szCs w:val="16"/>
              </w:rPr>
              <w:t>MIC*</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2007</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6.1</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7.8</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2.9</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12.0</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2008</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6.8</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8.7</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4.9</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14.6</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2009</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7.8</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10.7</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0.8</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14.1</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2010</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8.4</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11.6</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2.0</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16.1</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2011</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8.4</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11.6</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3.6</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17.3</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2012-I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9.9</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13.2</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4.4</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20.0</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2012-II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10.6</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13.9</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4.4</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20.8</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2012-III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10.8</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14.1</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4.3</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21.0</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2012-IV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11.4</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14.7</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3.5</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21.1</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2013-I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11.9</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15.3</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2.4</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21.0</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2013-II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12.1</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15.6</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20.9</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2013-III trim.</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12.3</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16.1</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21.5</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2013-Ottobre</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12.5</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16.4</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0.8</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21.3</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2013-Novembre</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12.8</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16.8</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0.8</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21.8</w:t>
            </w:r>
          </w:p>
        </w:tc>
      </w:tr>
      <w:tr w:rsidR="003A7106" w:rsidRPr="003A7106" w:rsidTr="003A7106">
        <w:trPr>
          <w:trHeight w:val="210"/>
          <w:jc w:val="center"/>
        </w:trPr>
        <w:tc>
          <w:tcPr>
            <w:tcW w:w="1938" w:type="dxa"/>
            <w:tcBorders>
              <w:top w:val="nil"/>
              <w:left w:val="nil"/>
              <w:bottom w:val="nil"/>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2013-Dicembre</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12.7</w:t>
            </w:r>
          </w:p>
        </w:tc>
        <w:tc>
          <w:tcPr>
            <w:tcW w:w="1869"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16.6</w:t>
            </w:r>
          </w:p>
        </w:tc>
        <w:tc>
          <w:tcPr>
            <w:tcW w:w="1580"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w:t>
            </w:r>
          </w:p>
        </w:tc>
        <w:tc>
          <w:tcPr>
            <w:tcW w:w="1321" w:type="dxa"/>
            <w:tcBorders>
              <w:top w:val="nil"/>
              <w:left w:val="nil"/>
              <w:bottom w:val="nil"/>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21.8</w:t>
            </w:r>
          </w:p>
        </w:tc>
      </w:tr>
      <w:tr w:rsidR="003A7106" w:rsidRPr="003A7106" w:rsidTr="003A7106">
        <w:trPr>
          <w:trHeight w:val="210"/>
          <w:jc w:val="center"/>
        </w:trPr>
        <w:tc>
          <w:tcPr>
            <w:tcW w:w="1938" w:type="dxa"/>
            <w:tcBorders>
              <w:top w:val="nil"/>
              <w:left w:val="nil"/>
              <w:bottom w:val="single" w:sz="4" w:space="0" w:color="auto"/>
              <w:right w:val="nil"/>
            </w:tcBorders>
            <w:shd w:val="clear" w:color="auto" w:fill="auto"/>
            <w:noWrap/>
            <w:vAlign w:val="center"/>
            <w:hideMark/>
          </w:tcPr>
          <w:p w:rsidR="003A7106" w:rsidRPr="003A7106" w:rsidRDefault="003A7106" w:rsidP="003A7106">
            <w:pPr>
              <w:rPr>
                <w:rFonts w:ascii="Arial" w:eastAsia="Times New Roman" w:hAnsi="Arial" w:cs="Arial"/>
                <w:color w:val="000000"/>
                <w:sz w:val="16"/>
                <w:szCs w:val="16"/>
              </w:rPr>
            </w:pPr>
            <w:r w:rsidRPr="003A7106">
              <w:rPr>
                <w:rFonts w:ascii="Arial" w:eastAsia="Times New Roman" w:hAnsi="Arial" w:cs="Arial"/>
                <w:color w:val="000000"/>
                <w:sz w:val="16"/>
                <w:szCs w:val="16"/>
              </w:rPr>
              <w:t>2014-Gennaio</w:t>
            </w:r>
          </w:p>
        </w:tc>
        <w:tc>
          <w:tcPr>
            <w:tcW w:w="1869" w:type="dxa"/>
            <w:tcBorders>
              <w:top w:val="nil"/>
              <w:left w:val="nil"/>
              <w:bottom w:val="single" w:sz="4" w:space="0" w:color="auto"/>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12.9</w:t>
            </w:r>
          </w:p>
        </w:tc>
        <w:tc>
          <w:tcPr>
            <w:tcW w:w="1869" w:type="dxa"/>
            <w:tcBorders>
              <w:top w:val="nil"/>
              <w:left w:val="nil"/>
              <w:bottom w:val="single" w:sz="4" w:space="0" w:color="auto"/>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16.8</w:t>
            </w:r>
          </w:p>
        </w:tc>
        <w:tc>
          <w:tcPr>
            <w:tcW w:w="1580" w:type="dxa"/>
            <w:tcBorders>
              <w:top w:val="nil"/>
              <w:left w:val="nil"/>
              <w:bottom w:val="single" w:sz="4" w:space="0" w:color="auto"/>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1.2</w:t>
            </w:r>
          </w:p>
        </w:tc>
        <w:tc>
          <w:tcPr>
            <w:tcW w:w="1321" w:type="dxa"/>
            <w:tcBorders>
              <w:top w:val="nil"/>
              <w:left w:val="nil"/>
              <w:bottom w:val="single" w:sz="4" w:space="0" w:color="auto"/>
              <w:right w:val="nil"/>
            </w:tcBorders>
            <w:shd w:val="clear" w:color="auto" w:fill="auto"/>
            <w:noWrap/>
            <w:vAlign w:val="center"/>
            <w:hideMark/>
          </w:tcPr>
          <w:p w:rsidR="003A7106" w:rsidRPr="003A7106" w:rsidRDefault="003A7106" w:rsidP="003A7106">
            <w:pPr>
              <w:jc w:val="center"/>
              <w:rPr>
                <w:rFonts w:ascii="Arial" w:eastAsia="Times New Roman" w:hAnsi="Arial" w:cs="Arial"/>
                <w:color w:val="000000"/>
                <w:sz w:val="16"/>
                <w:szCs w:val="16"/>
              </w:rPr>
            </w:pPr>
            <w:r w:rsidRPr="003A7106">
              <w:rPr>
                <w:rFonts w:ascii="Arial" w:eastAsia="Times New Roman" w:hAnsi="Arial" w:cs="Arial"/>
                <w:color w:val="000000"/>
                <w:sz w:val="16"/>
                <w:szCs w:val="16"/>
              </w:rPr>
              <w:t>22.1</w:t>
            </w:r>
          </w:p>
        </w:tc>
      </w:tr>
    </w:tbl>
    <w:p w:rsidR="005C7ED7" w:rsidRPr="00DF781B" w:rsidRDefault="005C7ED7" w:rsidP="0002149F">
      <w:pPr>
        <w:ind w:left="567" w:right="566"/>
        <w:jc w:val="both"/>
        <w:rPr>
          <w:rFonts w:ascii="Verdana" w:hAnsi="Verdana" w:cs="Arial"/>
          <w:sz w:val="16"/>
          <w:szCs w:val="16"/>
        </w:rPr>
      </w:pPr>
    </w:p>
    <w:p w:rsidR="003A7106" w:rsidRPr="00A1342C" w:rsidRDefault="003A7106" w:rsidP="003A7106">
      <w:pPr>
        <w:ind w:left="567" w:right="566"/>
        <w:jc w:val="both"/>
        <w:rPr>
          <w:rFonts w:ascii="Arial" w:hAnsi="Arial" w:cs="Arial"/>
          <w:i/>
          <w:sz w:val="16"/>
          <w:szCs w:val="16"/>
        </w:rPr>
      </w:pPr>
      <w:r w:rsidRPr="00A1342C">
        <w:rPr>
          <w:rFonts w:ascii="Arial" w:hAnsi="Arial" w:cs="Arial"/>
          <w:sz w:val="16"/>
          <w:szCs w:val="16"/>
        </w:rPr>
        <w:t>Elaborazioni Ufficio Studi Confcommercio-Imprese per l’Italia su dati ISTAT ed INPS.</w:t>
      </w:r>
    </w:p>
    <w:p w:rsidR="003A7106" w:rsidRDefault="003A7106" w:rsidP="003A7106">
      <w:pPr>
        <w:ind w:left="567" w:right="566"/>
        <w:jc w:val="both"/>
        <w:rPr>
          <w:rFonts w:ascii="Arial" w:hAnsi="Arial" w:cs="Arial"/>
          <w:sz w:val="16"/>
          <w:szCs w:val="16"/>
        </w:rPr>
      </w:pPr>
      <w:r w:rsidRPr="00A1342C">
        <w:rPr>
          <w:rFonts w:ascii="Arial" w:hAnsi="Arial" w:cs="Arial"/>
          <w:sz w:val="16"/>
          <w:szCs w:val="16"/>
        </w:rPr>
        <w:t xml:space="preserve">Legenda: per le definizioni si veda la nota tecnica. * I dati degli ultimi </w:t>
      </w:r>
      <w:r w:rsidRPr="00D41B19">
        <w:rPr>
          <w:rFonts w:ascii="Arial" w:hAnsi="Arial" w:cs="Arial"/>
          <w:sz w:val="16"/>
          <w:szCs w:val="16"/>
        </w:rPr>
        <w:t>quattro mesi</w:t>
      </w:r>
      <w:r w:rsidRPr="00A1342C">
        <w:rPr>
          <w:rFonts w:ascii="Arial" w:hAnsi="Arial" w:cs="Arial"/>
          <w:sz w:val="16"/>
          <w:szCs w:val="16"/>
        </w:rPr>
        <w:t xml:space="preserve"> sono frutto di stime </w:t>
      </w:r>
    </w:p>
    <w:p w:rsidR="003A7106" w:rsidRPr="00A1342C" w:rsidRDefault="003A7106" w:rsidP="003A7106">
      <w:pPr>
        <w:ind w:left="567" w:right="566"/>
        <w:jc w:val="both"/>
        <w:rPr>
          <w:rFonts w:ascii="Arial" w:hAnsi="Arial" w:cs="Arial"/>
          <w:sz w:val="16"/>
          <w:szCs w:val="16"/>
        </w:rPr>
      </w:pPr>
      <w:r w:rsidRPr="00A1342C">
        <w:rPr>
          <w:rFonts w:ascii="Arial" w:hAnsi="Arial" w:cs="Arial"/>
          <w:sz w:val="16"/>
          <w:szCs w:val="16"/>
        </w:rPr>
        <w:t>(cfr. la nota tecnica a pag. 3).</w:t>
      </w:r>
    </w:p>
    <w:p w:rsidR="0002149F" w:rsidRPr="00DF781B" w:rsidRDefault="0002149F" w:rsidP="0002149F">
      <w:pPr>
        <w:ind w:left="567"/>
        <w:jc w:val="center"/>
        <w:rPr>
          <w:rFonts w:ascii="Verdana" w:hAnsi="Verdana" w:cs="Arial"/>
          <w:b/>
          <w:bCs/>
          <w:sz w:val="24"/>
          <w:szCs w:val="28"/>
        </w:rPr>
      </w:pPr>
    </w:p>
    <w:p w:rsidR="0002149F" w:rsidRPr="00DF781B" w:rsidRDefault="0002149F" w:rsidP="0002149F">
      <w:pPr>
        <w:ind w:left="567"/>
        <w:jc w:val="center"/>
        <w:rPr>
          <w:rFonts w:ascii="Verdana" w:hAnsi="Verdana" w:cs="Arial"/>
          <w:b/>
          <w:bCs/>
          <w:sz w:val="24"/>
          <w:szCs w:val="28"/>
        </w:rPr>
      </w:pPr>
      <w:r w:rsidRPr="00DF781B">
        <w:rPr>
          <w:rFonts w:ascii="Verdana" w:hAnsi="Verdana" w:cs="Arial"/>
          <w:b/>
          <w:bCs/>
          <w:sz w:val="24"/>
          <w:szCs w:val="28"/>
        </w:rPr>
        <w:t xml:space="preserve">Figura 1: </w:t>
      </w:r>
      <w:proofErr w:type="spellStart"/>
      <w:r w:rsidRPr="00DF781B">
        <w:rPr>
          <w:rFonts w:ascii="Verdana" w:hAnsi="Verdana" w:cs="Arial"/>
          <w:b/>
          <w:bCs/>
          <w:sz w:val="24"/>
          <w:szCs w:val="28"/>
        </w:rPr>
        <w:t>Misery</w:t>
      </w:r>
      <w:proofErr w:type="spellEnd"/>
      <w:r w:rsidRPr="00DF781B">
        <w:rPr>
          <w:rFonts w:ascii="Verdana" w:hAnsi="Verdana" w:cs="Arial"/>
          <w:b/>
          <w:bCs/>
          <w:sz w:val="24"/>
          <w:szCs w:val="28"/>
        </w:rPr>
        <w:t xml:space="preserve"> Index Confcommercio (MIC)</w:t>
      </w:r>
    </w:p>
    <w:p w:rsidR="0002149F" w:rsidRPr="00DF781B" w:rsidRDefault="0002149F" w:rsidP="0002149F">
      <w:pPr>
        <w:ind w:left="567"/>
        <w:jc w:val="center"/>
        <w:rPr>
          <w:rFonts w:ascii="Verdana" w:hAnsi="Verdana" w:cs="Arial"/>
          <w:sz w:val="24"/>
          <w:szCs w:val="28"/>
        </w:rPr>
      </w:pPr>
    </w:p>
    <w:p w:rsidR="0002149F" w:rsidRDefault="00C42262" w:rsidP="0002149F">
      <w:pPr>
        <w:ind w:left="567"/>
        <w:rPr>
          <w:rFonts w:ascii="Verdana" w:hAnsi="Verdana"/>
          <w:noProof/>
        </w:rPr>
      </w:pPr>
      <w:r>
        <w:rPr>
          <w:noProof/>
        </w:rPr>
        <w:drawing>
          <wp:inline distT="0" distB="0" distL="0" distR="0" wp14:anchorId="7EAE4596" wp14:editId="7EB074D6">
            <wp:extent cx="5621867" cy="3420533"/>
            <wp:effectExtent l="0" t="0" r="17145" b="2794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2E7C" w:rsidRPr="00DF781B" w:rsidRDefault="00D22E7C" w:rsidP="0002149F">
      <w:pPr>
        <w:ind w:left="567"/>
        <w:rPr>
          <w:rFonts w:ascii="Verdana" w:hAnsi="Verdana" w:cs="Arial"/>
        </w:rPr>
      </w:pPr>
    </w:p>
    <w:p w:rsidR="00C42262" w:rsidRPr="00A1342C" w:rsidRDefault="00C42262" w:rsidP="00C42262">
      <w:pPr>
        <w:ind w:left="567" w:right="566"/>
        <w:jc w:val="both"/>
        <w:rPr>
          <w:rFonts w:ascii="Arial" w:hAnsi="Arial" w:cs="Arial"/>
          <w:i/>
          <w:sz w:val="16"/>
          <w:szCs w:val="16"/>
        </w:rPr>
      </w:pPr>
      <w:r w:rsidRPr="00A1342C">
        <w:rPr>
          <w:rFonts w:ascii="Arial" w:hAnsi="Arial" w:cs="Arial"/>
          <w:sz w:val="16"/>
          <w:szCs w:val="16"/>
        </w:rPr>
        <w:t>Elaborazioni Ufficio Studi Confcommercio-Imprese per l’Italia su dati ISTAT ed INPS.</w:t>
      </w:r>
    </w:p>
    <w:p w:rsidR="00C42262" w:rsidRDefault="00C42262" w:rsidP="00C42262">
      <w:pPr>
        <w:ind w:left="567" w:right="566"/>
        <w:jc w:val="both"/>
        <w:rPr>
          <w:rFonts w:ascii="Arial" w:hAnsi="Arial" w:cs="Arial"/>
          <w:sz w:val="16"/>
          <w:szCs w:val="16"/>
        </w:rPr>
      </w:pPr>
      <w:r w:rsidRPr="00A1342C">
        <w:rPr>
          <w:rFonts w:ascii="Arial" w:hAnsi="Arial" w:cs="Arial"/>
          <w:sz w:val="16"/>
          <w:szCs w:val="16"/>
        </w:rPr>
        <w:lastRenderedPageBreak/>
        <w:t xml:space="preserve">Legenda: per le definizioni si veda la nota tecnica. I dati degli ultimi </w:t>
      </w:r>
      <w:r w:rsidRPr="00D41B19">
        <w:rPr>
          <w:rFonts w:ascii="Arial" w:hAnsi="Arial" w:cs="Arial"/>
          <w:sz w:val="16"/>
          <w:szCs w:val="16"/>
        </w:rPr>
        <w:t>quattro mesi</w:t>
      </w:r>
      <w:r w:rsidRPr="00A1342C">
        <w:rPr>
          <w:rFonts w:ascii="Arial" w:hAnsi="Arial" w:cs="Arial"/>
          <w:sz w:val="16"/>
          <w:szCs w:val="16"/>
        </w:rPr>
        <w:t xml:space="preserve"> sono frutto di stime </w:t>
      </w:r>
    </w:p>
    <w:p w:rsidR="00C42262" w:rsidRDefault="00C42262" w:rsidP="00C42262">
      <w:pPr>
        <w:ind w:left="567" w:right="566"/>
        <w:jc w:val="both"/>
        <w:rPr>
          <w:rFonts w:ascii="Arial" w:hAnsi="Arial" w:cs="Arial"/>
          <w:sz w:val="16"/>
          <w:szCs w:val="16"/>
        </w:rPr>
      </w:pPr>
      <w:r w:rsidRPr="00A1342C">
        <w:rPr>
          <w:rFonts w:ascii="Arial" w:hAnsi="Arial" w:cs="Arial"/>
          <w:sz w:val="16"/>
          <w:szCs w:val="16"/>
        </w:rPr>
        <w:t>(cfr. la nota tecnica a pag. 3).</w:t>
      </w:r>
    </w:p>
    <w:p w:rsidR="002134F5" w:rsidRDefault="002134F5" w:rsidP="0002149F">
      <w:pPr>
        <w:ind w:left="567" w:right="566"/>
        <w:jc w:val="both"/>
        <w:rPr>
          <w:rFonts w:ascii="Verdana" w:hAnsi="Verdana" w:cs="Arial"/>
          <w:sz w:val="16"/>
          <w:szCs w:val="16"/>
        </w:rPr>
      </w:pPr>
    </w:p>
    <w:p w:rsidR="002134F5" w:rsidRDefault="002134F5" w:rsidP="0002149F">
      <w:pPr>
        <w:ind w:left="567" w:right="566"/>
        <w:jc w:val="both"/>
        <w:rPr>
          <w:rFonts w:ascii="Verdana" w:hAnsi="Verdana" w:cs="Arial"/>
          <w:sz w:val="16"/>
          <w:szCs w:val="16"/>
        </w:rPr>
      </w:pPr>
    </w:p>
    <w:p w:rsidR="002134F5" w:rsidRDefault="002134F5" w:rsidP="0002149F">
      <w:pPr>
        <w:ind w:left="567" w:right="566"/>
        <w:jc w:val="both"/>
        <w:rPr>
          <w:rFonts w:ascii="Verdana" w:hAnsi="Verdana" w:cs="Arial"/>
          <w:sz w:val="16"/>
          <w:szCs w:val="16"/>
        </w:rPr>
      </w:pPr>
    </w:p>
    <w:p w:rsidR="00B91E38" w:rsidRPr="00DF781B" w:rsidRDefault="00B91E38" w:rsidP="0002149F">
      <w:pPr>
        <w:ind w:left="567" w:right="566"/>
        <w:jc w:val="both"/>
        <w:rPr>
          <w:rFonts w:ascii="Verdana" w:hAnsi="Verdana" w:cs="Arial"/>
          <w:sz w:val="16"/>
          <w:szCs w:val="16"/>
        </w:rPr>
      </w:pPr>
    </w:p>
    <w:p w:rsidR="008D55A0" w:rsidRDefault="008D55A0" w:rsidP="0002149F">
      <w:pPr>
        <w:spacing w:line="24" w:lineRule="atLeast"/>
        <w:jc w:val="center"/>
        <w:rPr>
          <w:rFonts w:ascii="Verdana" w:hAnsi="Verdana" w:cs="Arial"/>
          <w:b/>
          <w:bCs/>
          <w:sz w:val="24"/>
          <w:szCs w:val="24"/>
        </w:rPr>
      </w:pPr>
    </w:p>
    <w:p w:rsidR="008D55A0" w:rsidRDefault="008D55A0" w:rsidP="0002149F">
      <w:pPr>
        <w:spacing w:line="24" w:lineRule="atLeast"/>
        <w:jc w:val="center"/>
        <w:rPr>
          <w:rFonts w:ascii="Verdana" w:hAnsi="Verdana" w:cs="Arial"/>
          <w:b/>
          <w:bCs/>
          <w:sz w:val="24"/>
          <w:szCs w:val="24"/>
        </w:rPr>
      </w:pPr>
    </w:p>
    <w:p w:rsidR="008D55A0" w:rsidRDefault="008D55A0" w:rsidP="0002149F">
      <w:pPr>
        <w:spacing w:line="24" w:lineRule="atLeast"/>
        <w:jc w:val="center"/>
        <w:rPr>
          <w:rFonts w:ascii="Verdana" w:hAnsi="Verdana" w:cs="Arial"/>
          <w:b/>
          <w:bCs/>
          <w:sz w:val="24"/>
          <w:szCs w:val="24"/>
        </w:rPr>
      </w:pPr>
    </w:p>
    <w:p w:rsidR="00264920" w:rsidRDefault="00264920" w:rsidP="0002149F">
      <w:pPr>
        <w:spacing w:line="24" w:lineRule="atLeast"/>
        <w:jc w:val="center"/>
        <w:rPr>
          <w:rFonts w:ascii="Verdana" w:hAnsi="Verdana" w:cs="Arial"/>
          <w:b/>
          <w:bCs/>
          <w:sz w:val="24"/>
          <w:szCs w:val="24"/>
        </w:rPr>
      </w:pPr>
    </w:p>
    <w:p w:rsidR="008D55A0" w:rsidRDefault="008D55A0" w:rsidP="0002149F">
      <w:pPr>
        <w:spacing w:line="24" w:lineRule="atLeast"/>
        <w:jc w:val="center"/>
        <w:rPr>
          <w:rFonts w:ascii="Verdana" w:hAnsi="Verdana" w:cs="Arial"/>
          <w:b/>
          <w:bCs/>
          <w:sz w:val="24"/>
          <w:szCs w:val="24"/>
        </w:rPr>
      </w:pPr>
    </w:p>
    <w:p w:rsidR="008D55A0" w:rsidRDefault="008D55A0" w:rsidP="0002149F">
      <w:pPr>
        <w:spacing w:line="24" w:lineRule="atLeast"/>
        <w:jc w:val="center"/>
        <w:rPr>
          <w:rFonts w:ascii="Verdana" w:hAnsi="Verdana" w:cs="Arial"/>
          <w:b/>
          <w:bCs/>
          <w:sz w:val="24"/>
          <w:szCs w:val="24"/>
        </w:rPr>
      </w:pPr>
    </w:p>
    <w:p w:rsidR="0002149F" w:rsidRDefault="0002149F" w:rsidP="0002149F">
      <w:pPr>
        <w:spacing w:line="24" w:lineRule="atLeast"/>
        <w:jc w:val="center"/>
        <w:rPr>
          <w:rFonts w:ascii="Verdana" w:hAnsi="Verdana" w:cs="Arial"/>
          <w:b/>
          <w:bCs/>
          <w:sz w:val="24"/>
          <w:szCs w:val="24"/>
        </w:rPr>
      </w:pPr>
      <w:r w:rsidRPr="00B91E38">
        <w:rPr>
          <w:rFonts w:ascii="Verdana" w:hAnsi="Verdana" w:cs="Arial"/>
          <w:b/>
          <w:bCs/>
          <w:sz w:val="24"/>
          <w:szCs w:val="24"/>
        </w:rPr>
        <w:t xml:space="preserve">Nota tecnica sul calcolo del </w:t>
      </w:r>
      <w:proofErr w:type="spellStart"/>
      <w:r w:rsidRPr="00B91E38">
        <w:rPr>
          <w:rFonts w:ascii="Verdana" w:hAnsi="Verdana" w:cs="Arial"/>
          <w:b/>
          <w:bCs/>
          <w:sz w:val="24"/>
          <w:szCs w:val="24"/>
        </w:rPr>
        <w:t>Misery</w:t>
      </w:r>
      <w:proofErr w:type="spellEnd"/>
      <w:r w:rsidRPr="00B91E38">
        <w:rPr>
          <w:rFonts w:ascii="Verdana" w:hAnsi="Verdana" w:cs="Arial"/>
          <w:b/>
          <w:bCs/>
          <w:sz w:val="24"/>
          <w:szCs w:val="24"/>
        </w:rPr>
        <w:t xml:space="preserve"> Index Confcommercio (MIC)</w:t>
      </w:r>
    </w:p>
    <w:p w:rsidR="00B91E38" w:rsidRPr="00B91E38" w:rsidRDefault="00B91E38" w:rsidP="0002149F">
      <w:pPr>
        <w:spacing w:line="24" w:lineRule="atLeast"/>
        <w:jc w:val="center"/>
        <w:rPr>
          <w:rFonts w:ascii="Verdana" w:hAnsi="Verdana" w:cs="Arial"/>
          <w:b/>
          <w:bCs/>
          <w:sz w:val="24"/>
          <w:szCs w:val="24"/>
        </w:rPr>
      </w:pP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 xml:space="preserve">Il </w:t>
      </w:r>
      <w:proofErr w:type="spellStart"/>
      <w:r w:rsidRPr="00A1342C">
        <w:rPr>
          <w:rFonts w:ascii="Arial" w:hAnsi="Arial" w:cs="Arial"/>
          <w:b/>
          <w:sz w:val="16"/>
          <w:szCs w:val="16"/>
        </w:rPr>
        <w:t>Misery</w:t>
      </w:r>
      <w:proofErr w:type="spellEnd"/>
      <w:r w:rsidRPr="00A1342C">
        <w:rPr>
          <w:rFonts w:ascii="Arial" w:hAnsi="Arial" w:cs="Arial"/>
          <w:b/>
          <w:sz w:val="16"/>
          <w:szCs w:val="16"/>
        </w:rPr>
        <w:t xml:space="preserve"> Index</w:t>
      </w:r>
      <w:r w:rsidRPr="00A1342C">
        <w:rPr>
          <w:rFonts w:ascii="Arial" w:hAnsi="Arial" w:cs="Arial"/>
          <w:sz w:val="16"/>
          <w:szCs w:val="16"/>
        </w:rPr>
        <w:t xml:space="preserve"> </w:t>
      </w:r>
      <w:r w:rsidRPr="00A1342C">
        <w:rPr>
          <w:rFonts w:ascii="Arial" w:hAnsi="Arial" w:cs="Arial"/>
          <w:b/>
          <w:sz w:val="16"/>
          <w:szCs w:val="16"/>
        </w:rPr>
        <w:t>(MI)</w:t>
      </w:r>
      <w:r w:rsidRPr="00A1342C">
        <w:rPr>
          <w:rFonts w:ascii="Arial" w:hAnsi="Arial" w:cs="Arial"/>
          <w:sz w:val="16"/>
          <w:szCs w:val="16"/>
        </w:rPr>
        <w:t xml:space="preserve"> tradizionale è dato dalla semplice somma di tasso di disoccupazione e tasso d’inflazione. I pesi assegnati ai due “mali” sono dunque identici e pari a 1.</w:t>
      </w: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 xml:space="preserve">Il </w:t>
      </w:r>
      <w:proofErr w:type="spellStart"/>
      <w:r w:rsidRPr="00A1342C">
        <w:rPr>
          <w:rFonts w:ascii="Arial" w:hAnsi="Arial" w:cs="Arial"/>
          <w:b/>
          <w:sz w:val="16"/>
          <w:szCs w:val="16"/>
        </w:rPr>
        <w:t>Misery</w:t>
      </w:r>
      <w:proofErr w:type="spellEnd"/>
      <w:r w:rsidRPr="00A1342C">
        <w:rPr>
          <w:rFonts w:ascii="Arial" w:hAnsi="Arial" w:cs="Arial"/>
          <w:b/>
          <w:sz w:val="16"/>
          <w:szCs w:val="16"/>
        </w:rPr>
        <w:t xml:space="preserve"> Index Confcommercio (MIC)</w:t>
      </w:r>
      <w:r w:rsidRPr="00A1342C">
        <w:rPr>
          <w:rFonts w:ascii="Arial" w:hAnsi="Arial" w:cs="Arial"/>
          <w:sz w:val="16"/>
          <w:szCs w:val="16"/>
        </w:rPr>
        <w:t xml:space="preserve"> è calcolato in modo da leggere con maggiore precisione la dinamica del disagio sociale, misurato in una metrica macroeconomica. Le due componenti del MIC sono il tasso di disoccupazione esteso, definito più sotto, e la variazione dei prezzi dei beni e dei servizi acquistati in alta frequenza (fonte ISTAT): le dinamiche di prezzo di questo paniere dovrebbero influenzare in modo più diretto la percezione dell’inflazione da parte delle famiglie, correlandosi direttamente con le preoccupazioni (disagio) in merito al proprio potere d’acquisto.</w:t>
      </w: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 xml:space="preserve">Si assegnano pesi diversi alle due componenti, disoccupazione ed inflazione, rispettivamente 1,2647 e 0,7353. Ciò sulla base degli studi scientifici internazionali che, utilizzando dati </w:t>
      </w:r>
      <w:proofErr w:type="spellStart"/>
      <w:r w:rsidRPr="00A1342C">
        <w:rPr>
          <w:rFonts w:ascii="Arial" w:hAnsi="Arial" w:cs="Arial"/>
          <w:sz w:val="16"/>
          <w:szCs w:val="16"/>
        </w:rPr>
        <w:t>Eurobarometro</w:t>
      </w:r>
      <w:proofErr w:type="spellEnd"/>
      <w:r w:rsidRPr="00A1342C">
        <w:rPr>
          <w:rFonts w:ascii="Arial" w:hAnsi="Arial" w:cs="Arial"/>
          <w:sz w:val="16"/>
          <w:szCs w:val="16"/>
        </w:rPr>
        <w:t xml:space="preserve"> sul benessere dei cittadini europei (si veda Di Tella, </w:t>
      </w:r>
      <w:proofErr w:type="spellStart"/>
      <w:r w:rsidRPr="00A1342C">
        <w:rPr>
          <w:rFonts w:ascii="Arial" w:hAnsi="Arial" w:cs="Arial"/>
          <w:sz w:val="16"/>
          <w:szCs w:val="16"/>
        </w:rPr>
        <w:t>MacCulloch</w:t>
      </w:r>
      <w:proofErr w:type="spellEnd"/>
      <w:r w:rsidRPr="00A1342C">
        <w:rPr>
          <w:rFonts w:ascii="Arial" w:hAnsi="Arial" w:cs="Arial"/>
          <w:sz w:val="16"/>
          <w:szCs w:val="16"/>
        </w:rPr>
        <w:t xml:space="preserve"> ed Oswald, 2001), hanno dimostrato come il costo della disoccupazione in termini di soddisfazione di vita sia molto superiore a quello dell’inflazione.</w:t>
      </w: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 xml:space="preserve">D’altra parte, tutte le recenti ricerche sociali evidenziano come prima preoccupazione dei cittadini sia la questione del lavoro, e quindi la paura della disoccupazione. Il </w:t>
      </w:r>
      <w:proofErr w:type="spellStart"/>
      <w:r w:rsidRPr="00A1342C">
        <w:rPr>
          <w:rFonts w:ascii="Arial" w:hAnsi="Arial" w:cs="Arial"/>
          <w:sz w:val="16"/>
          <w:szCs w:val="16"/>
        </w:rPr>
        <w:t>Misery</w:t>
      </w:r>
      <w:proofErr w:type="spellEnd"/>
      <w:r w:rsidRPr="00A1342C">
        <w:rPr>
          <w:rFonts w:ascii="Arial" w:hAnsi="Arial" w:cs="Arial"/>
          <w:sz w:val="16"/>
          <w:szCs w:val="16"/>
        </w:rPr>
        <w:t xml:space="preserve"> Index tradizionale, che assegna pesi uguali ai due mali, tende, dunque, a sottostimare i costi economici, psicologici e sociali - diretti ed indiretti - della disoccupazione. La quantificazione dei due pesi adottata nel MIC si basa sulla regressione 1 della Tabella 2 contenuta in Becchetti, </w:t>
      </w:r>
      <w:proofErr w:type="spellStart"/>
      <w:r w:rsidRPr="00A1342C">
        <w:rPr>
          <w:rFonts w:ascii="Arial" w:hAnsi="Arial" w:cs="Arial"/>
          <w:sz w:val="16"/>
          <w:szCs w:val="16"/>
        </w:rPr>
        <w:t>Castriota</w:t>
      </w:r>
      <w:proofErr w:type="spellEnd"/>
      <w:r w:rsidRPr="00A1342C">
        <w:rPr>
          <w:rFonts w:ascii="Arial" w:hAnsi="Arial" w:cs="Arial"/>
          <w:sz w:val="16"/>
          <w:szCs w:val="16"/>
        </w:rPr>
        <w:t xml:space="preserve"> e </w:t>
      </w:r>
      <w:proofErr w:type="spellStart"/>
      <w:r w:rsidRPr="00A1342C">
        <w:rPr>
          <w:rFonts w:ascii="Arial" w:hAnsi="Arial" w:cs="Arial"/>
          <w:sz w:val="16"/>
          <w:szCs w:val="16"/>
        </w:rPr>
        <w:t>Giuntella</w:t>
      </w:r>
      <w:proofErr w:type="spellEnd"/>
      <w:r w:rsidRPr="00A1342C">
        <w:rPr>
          <w:rFonts w:ascii="Arial" w:hAnsi="Arial" w:cs="Arial"/>
          <w:sz w:val="16"/>
          <w:szCs w:val="16"/>
        </w:rPr>
        <w:t xml:space="preserve"> (2010), in cui si stima che, per lasciare indifferente un cittadino medio europeo, l’aumento di un punto di disoccupazione deve essere compensato da una diminuzione di 1,72 punti di inflazione. Di conseguenza, i pesi della disoccupazione e dell’inflazione valgono, rispettivamente, (1,72/2,72)x2=1,2647 e (1/2,72)x2=0,7353. I pesi sono moltiplicati per due in modo da lasciare la loro somma uguale a due per consentire una lettura non ambigua dei risultati (anche nel calcolo del </w:t>
      </w:r>
      <w:proofErr w:type="spellStart"/>
      <w:r w:rsidRPr="00A1342C">
        <w:rPr>
          <w:rFonts w:ascii="Arial" w:hAnsi="Arial" w:cs="Arial"/>
          <w:sz w:val="16"/>
          <w:szCs w:val="16"/>
        </w:rPr>
        <w:t>Misery</w:t>
      </w:r>
      <w:proofErr w:type="spellEnd"/>
      <w:r w:rsidRPr="00A1342C">
        <w:rPr>
          <w:rFonts w:ascii="Arial" w:hAnsi="Arial" w:cs="Arial"/>
          <w:sz w:val="16"/>
          <w:szCs w:val="16"/>
        </w:rPr>
        <w:t xml:space="preserve"> Index tradizionale la somma dei pesi è pari a due).</w:t>
      </w:r>
    </w:p>
    <w:p w:rsidR="008D55A0" w:rsidRPr="00A1342C" w:rsidRDefault="008D55A0" w:rsidP="008D55A0">
      <w:pPr>
        <w:pStyle w:val="Paragrafoelenco1"/>
        <w:spacing w:after="0" w:line="288" w:lineRule="auto"/>
        <w:ind w:left="0" w:firstLine="709"/>
        <w:jc w:val="both"/>
        <w:rPr>
          <w:rFonts w:ascii="Arial" w:hAnsi="Arial" w:cs="Arial"/>
          <w:sz w:val="16"/>
          <w:szCs w:val="16"/>
        </w:rPr>
      </w:pP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Il tasso di disoccupazione esteso è il termine in parentesi quadra a destra nella seguente formula:</w:t>
      </w: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MIC=0,7353 × (</w:t>
      </w:r>
      <w:proofErr w:type="spellStart"/>
      <w:r w:rsidRPr="00A1342C">
        <w:rPr>
          <w:rFonts w:ascii="Arial" w:hAnsi="Arial" w:cs="Arial"/>
          <w:sz w:val="16"/>
          <w:szCs w:val="16"/>
        </w:rPr>
        <w:t>infl</w:t>
      </w:r>
      <w:proofErr w:type="spellEnd"/>
      <w:r w:rsidRPr="00A1342C">
        <w:rPr>
          <w:rFonts w:ascii="Arial" w:hAnsi="Arial" w:cs="Arial"/>
          <w:sz w:val="16"/>
          <w:szCs w:val="16"/>
        </w:rPr>
        <w:t>. AF) + 1,2647 × [(</w:t>
      </w:r>
      <w:proofErr w:type="spellStart"/>
      <w:r w:rsidRPr="00A1342C">
        <w:rPr>
          <w:rFonts w:ascii="Arial" w:hAnsi="Arial" w:cs="Arial"/>
          <w:sz w:val="16"/>
          <w:szCs w:val="16"/>
        </w:rPr>
        <w:t>disocc</w:t>
      </w:r>
      <w:proofErr w:type="spellEnd"/>
      <w:r w:rsidRPr="00A1342C">
        <w:rPr>
          <w:rFonts w:ascii="Arial" w:hAnsi="Arial" w:cs="Arial"/>
          <w:sz w:val="16"/>
          <w:szCs w:val="16"/>
        </w:rPr>
        <w:t xml:space="preserve">.+FL </w:t>
      </w:r>
      <w:proofErr w:type="spellStart"/>
      <w:r w:rsidRPr="00A1342C">
        <w:rPr>
          <w:rFonts w:ascii="Arial" w:hAnsi="Arial" w:cs="Arial"/>
          <w:sz w:val="16"/>
          <w:szCs w:val="16"/>
        </w:rPr>
        <w:t>pot</w:t>
      </w:r>
      <w:proofErr w:type="spellEnd"/>
      <w:r w:rsidRPr="00A1342C">
        <w:rPr>
          <w:rFonts w:ascii="Arial" w:hAnsi="Arial" w:cs="Arial"/>
          <w:sz w:val="16"/>
          <w:szCs w:val="16"/>
        </w:rPr>
        <w:t>.+ CIG)/(</w:t>
      </w:r>
      <w:proofErr w:type="spellStart"/>
      <w:r w:rsidRPr="00A1342C">
        <w:rPr>
          <w:rFonts w:ascii="Arial" w:hAnsi="Arial" w:cs="Arial"/>
          <w:sz w:val="16"/>
          <w:szCs w:val="16"/>
        </w:rPr>
        <w:t>occ</w:t>
      </w:r>
      <w:proofErr w:type="spellEnd"/>
      <w:r w:rsidRPr="00A1342C">
        <w:rPr>
          <w:rFonts w:ascii="Arial" w:hAnsi="Arial" w:cs="Arial"/>
          <w:sz w:val="16"/>
          <w:szCs w:val="16"/>
        </w:rPr>
        <w:t>.+</w:t>
      </w:r>
      <w:proofErr w:type="spellStart"/>
      <w:r w:rsidRPr="00A1342C">
        <w:rPr>
          <w:rFonts w:ascii="Arial" w:hAnsi="Arial" w:cs="Arial"/>
          <w:sz w:val="16"/>
          <w:szCs w:val="16"/>
        </w:rPr>
        <w:t>disocc</w:t>
      </w:r>
      <w:proofErr w:type="spellEnd"/>
      <w:r w:rsidRPr="00A1342C">
        <w:rPr>
          <w:rFonts w:ascii="Arial" w:hAnsi="Arial" w:cs="Arial"/>
          <w:sz w:val="16"/>
          <w:szCs w:val="16"/>
        </w:rPr>
        <w:t xml:space="preserve">.+FL </w:t>
      </w:r>
      <w:proofErr w:type="spellStart"/>
      <w:r w:rsidRPr="00A1342C">
        <w:rPr>
          <w:rFonts w:ascii="Arial" w:hAnsi="Arial" w:cs="Arial"/>
          <w:sz w:val="16"/>
          <w:szCs w:val="16"/>
        </w:rPr>
        <w:t>pot</w:t>
      </w:r>
      <w:proofErr w:type="spellEnd"/>
      <w:r w:rsidRPr="00A1342C">
        <w:rPr>
          <w:rFonts w:ascii="Arial" w:hAnsi="Arial" w:cs="Arial"/>
          <w:sz w:val="16"/>
          <w:szCs w:val="16"/>
        </w:rPr>
        <w:t>.) × 100]</w:t>
      </w:r>
    </w:p>
    <w:p w:rsidR="008D55A0" w:rsidRPr="00A1342C" w:rsidRDefault="008D55A0" w:rsidP="008D55A0">
      <w:pPr>
        <w:pStyle w:val="Paragrafoelenco1"/>
        <w:spacing w:after="0" w:line="288" w:lineRule="auto"/>
        <w:ind w:left="0" w:firstLine="709"/>
        <w:jc w:val="both"/>
        <w:rPr>
          <w:rFonts w:ascii="Arial" w:hAnsi="Arial" w:cs="Arial"/>
          <w:sz w:val="16"/>
          <w:szCs w:val="16"/>
        </w:rPr>
      </w:pP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 xml:space="preserve">Al numeratore del tasso di disoccupazione esteso compaiono sia le forze di lavoro potenziali, come definite più sotto, sia i cassaintegrati equivalenti a zero ore. Questo concetto si esemplifica facilmente: se le ore di cassa integrazione sono otto in un giorno, quattro per una persona e quattro per un’altra persona, i cassaintegrati equivalenti sono pari a uno dal momento che un dipendente a tempo pieno lavora otto ore. Le forze di lavoro potenziali correggono opportunamente anche il denominatore, estendendo il concetto tradizionale di forze di lavoro a coloro che hanno svolto l’ultima azione di ricerca da due a tre mesi fa e che, quindi, sono più facilmente assimilabili ai disoccupati che agli inattivi; i cassaintegrati equivalenti, invece, non compaiono al denominatore perché già conteggiati (nella rilevazione dell’ISTAT figurano tra gli occupati). </w:t>
      </w:r>
    </w:p>
    <w:p w:rsidR="008D55A0" w:rsidRPr="00A1342C" w:rsidRDefault="008D55A0" w:rsidP="008D55A0">
      <w:pPr>
        <w:pStyle w:val="Paragrafoelenco1"/>
        <w:spacing w:after="0" w:line="288" w:lineRule="auto"/>
        <w:ind w:left="0" w:firstLine="709"/>
        <w:jc w:val="both"/>
        <w:rPr>
          <w:rFonts w:ascii="Arial" w:hAnsi="Arial" w:cs="Arial"/>
          <w:sz w:val="16"/>
          <w:szCs w:val="16"/>
        </w:rPr>
      </w:pPr>
      <w:r w:rsidRPr="00A1342C">
        <w:rPr>
          <w:rFonts w:ascii="Arial" w:hAnsi="Arial" w:cs="Arial"/>
          <w:sz w:val="16"/>
          <w:szCs w:val="16"/>
        </w:rPr>
        <w:t>Di seguito la descrizione delle singole variabili e le fonti:</w:t>
      </w:r>
    </w:p>
    <w:p w:rsidR="008D55A0" w:rsidRPr="00A1342C" w:rsidRDefault="008D55A0" w:rsidP="008D55A0">
      <w:pPr>
        <w:pStyle w:val="Paragrafoelenco1"/>
        <w:numPr>
          <w:ilvl w:val="0"/>
          <w:numId w:val="6"/>
        </w:numPr>
        <w:spacing w:after="0" w:line="288" w:lineRule="auto"/>
        <w:jc w:val="both"/>
        <w:rPr>
          <w:rFonts w:ascii="Arial" w:hAnsi="Arial" w:cs="Arial"/>
          <w:sz w:val="16"/>
          <w:szCs w:val="16"/>
        </w:rPr>
      </w:pPr>
      <w:r w:rsidRPr="00A1342C">
        <w:rPr>
          <w:rFonts w:ascii="Arial" w:hAnsi="Arial" w:cs="Arial"/>
          <w:sz w:val="16"/>
          <w:szCs w:val="16"/>
        </w:rPr>
        <w:t>Tasso di inflazione dei prodotti ad alta frequenza d’acquisto: dati mensili di fonte ISTAT, variazione tendenziale;</w:t>
      </w:r>
    </w:p>
    <w:p w:rsidR="008D55A0" w:rsidRPr="00A1342C" w:rsidRDefault="008D55A0" w:rsidP="008D55A0">
      <w:pPr>
        <w:pStyle w:val="Paragrafoelenco1"/>
        <w:numPr>
          <w:ilvl w:val="0"/>
          <w:numId w:val="6"/>
        </w:numPr>
        <w:spacing w:after="0" w:line="288" w:lineRule="auto"/>
        <w:jc w:val="both"/>
        <w:rPr>
          <w:rFonts w:ascii="Arial" w:hAnsi="Arial" w:cs="Arial"/>
          <w:sz w:val="16"/>
          <w:szCs w:val="16"/>
        </w:rPr>
      </w:pPr>
      <w:r w:rsidRPr="00A1342C">
        <w:rPr>
          <w:rFonts w:ascii="Arial" w:hAnsi="Arial" w:cs="Arial"/>
          <w:sz w:val="16"/>
          <w:szCs w:val="16"/>
        </w:rPr>
        <w:t>Tasso di disoccupazione, occupati e disoccupati: dati mensili destagionalizzati di fonte ISTAT;</w:t>
      </w:r>
    </w:p>
    <w:p w:rsidR="008D55A0" w:rsidRPr="00A1342C" w:rsidRDefault="008D55A0" w:rsidP="008D55A0">
      <w:pPr>
        <w:pStyle w:val="Paragrafoelenco1"/>
        <w:numPr>
          <w:ilvl w:val="0"/>
          <w:numId w:val="6"/>
        </w:numPr>
        <w:spacing w:after="0" w:line="288" w:lineRule="auto"/>
        <w:jc w:val="both"/>
        <w:rPr>
          <w:rFonts w:ascii="Arial" w:hAnsi="Arial" w:cs="Arial"/>
          <w:sz w:val="16"/>
          <w:szCs w:val="16"/>
        </w:rPr>
      </w:pPr>
      <w:r w:rsidRPr="00A1342C">
        <w:rPr>
          <w:rFonts w:ascii="Arial" w:hAnsi="Arial" w:cs="Arial"/>
          <w:sz w:val="16"/>
          <w:szCs w:val="16"/>
        </w:rPr>
        <w:t>Ore CIG: dati mensili INPS sulle ore di CIG effettivamente utilizzate (tiraggio, confronti omogenei); tale stima costituisce un’approssimazione dal momento che le comunicazioni delle aziende all’INPS non sono sempre contestuali al periodo di fruizione del sussidio da parte del lavoratore</w:t>
      </w:r>
      <w:r>
        <w:rPr>
          <w:rFonts w:ascii="Arial" w:hAnsi="Arial" w:cs="Arial"/>
          <w:sz w:val="16"/>
          <w:szCs w:val="16"/>
        </w:rPr>
        <w:t>. I dati sono stati destagionalizzati con TRAMO-SEATS</w:t>
      </w:r>
      <w:r w:rsidRPr="00A1342C">
        <w:rPr>
          <w:rFonts w:ascii="Arial" w:hAnsi="Arial" w:cs="Arial"/>
          <w:sz w:val="16"/>
          <w:szCs w:val="16"/>
        </w:rPr>
        <w:t>;</w:t>
      </w:r>
    </w:p>
    <w:p w:rsidR="008D55A0" w:rsidRPr="003D647F" w:rsidRDefault="008D55A0" w:rsidP="008D55A0">
      <w:pPr>
        <w:pStyle w:val="Paragrafoelenco1"/>
        <w:numPr>
          <w:ilvl w:val="0"/>
          <w:numId w:val="6"/>
        </w:numPr>
        <w:spacing w:after="0" w:line="288" w:lineRule="auto"/>
        <w:jc w:val="both"/>
        <w:rPr>
          <w:rFonts w:ascii="Arial" w:hAnsi="Arial" w:cs="Arial"/>
          <w:sz w:val="16"/>
          <w:szCs w:val="16"/>
        </w:rPr>
      </w:pPr>
      <w:r w:rsidRPr="003D647F">
        <w:rPr>
          <w:rFonts w:ascii="Arial" w:hAnsi="Arial" w:cs="Arial"/>
          <w:sz w:val="16"/>
          <w:szCs w:val="16"/>
        </w:rPr>
        <w:t xml:space="preserve">CIG: numero di CIG-teste, calcolate dividendo le Ore CIG totali per 2000 ore annue (166,6 al mese); </w:t>
      </w:r>
    </w:p>
    <w:p w:rsidR="008D55A0" w:rsidRPr="003D647F" w:rsidRDefault="008D55A0" w:rsidP="008D55A0">
      <w:pPr>
        <w:pStyle w:val="Paragrafoelenco1"/>
        <w:numPr>
          <w:ilvl w:val="0"/>
          <w:numId w:val="6"/>
        </w:numPr>
        <w:spacing w:after="0" w:line="288" w:lineRule="auto"/>
        <w:jc w:val="both"/>
        <w:rPr>
          <w:rFonts w:ascii="Arial" w:hAnsi="Arial" w:cs="Arial"/>
          <w:sz w:val="16"/>
          <w:szCs w:val="16"/>
        </w:rPr>
      </w:pPr>
      <w:r w:rsidRPr="003D647F">
        <w:rPr>
          <w:rFonts w:ascii="Arial" w:hAnsi="Arial" w:cs="Arial"/>
          <w:sz w:val="16"/>
          <w:szCs w:val="16"/>
        </w:rPr>
        <w:t xml:space="preserve">Forze di lavoro potenziali: sottoinsieme delle persone che (1) si dichiarano in cerca di lavoro, (2) sono disponibili a lavorare nelle prossime due settimane e (3) anche se non lo hanno fatto nelle ultime quattro settimane, affermano di aver compiuto una o più azioni di ricerca da </w:t>
      </w:r>
      <w:smartTag w:uri="urn:schemas-microsoft-com:office:smarttags" w:element="metricconverter">
        <w:smartTagPr>
          <w:attr w:name="ProductID" w:val="2 a"/>
        </w:smartTagPr>
        <w:r w:rsidRPr="003D647F">
          <w:rPr>
            <w:rFonts w:ascii="Arial" w:hAnsi="Arial" w:cs="Arial"/>
            <w:sz w:val="16"/>
            <w:szCs w:val="16"/>
          </w:rPr>
          <w:t>2 a</w:t>
        </w:r>
      </w:smartTag>
      <w:r w:rsidRPr="003D647F">
        <w:rPr>
          <w:rFonts w:ascii="Arial" w:hAnsi="Arial" w:cs="Arial"/>
          <w:sz w:val="16"/>
          <w:szCs w:val="16"/>
        </w:rPr>
        <w:t xml:space="preserve"> 3 mesi prima dell’intervista. I dati sulle forze lavoro potenziali, forniti dall’ISTAT su base trimestrale, sono stati </w:t>
      </w:r>
      <w:r>
        <w:rPr>
          <w:rFonts w:ascii="Arial" w:hAnsi="Arial" w:cs="Arial"/>
          <w:sz w:val="16"/>
          <w:szCs w:val="16"/>
        </w:rPr>
        <w:t xml:space="preserve">destagionalizzati con TRAMO-SEATS e </w:t>
      </w:r>
      <w:proofErr w:type="spellStart"/>
      <w:r w:rsidRPr="003D647F">
        <w:rPr>
          <w:rFonts w:ascii="Arial" w:hAnsi="Arial" w:cs="Arial"/>
          <w:sz w:val="16"/>
          <w:szCs w:val="16"/>
        </w:rPr>
        <w:t>mensilizzati</w:t>
      </w:r>
      <w:proofErr w:type="spellEnd"/>
      <w:r w:rsidRPr="003D647F">
        <w:rPr>
          <w:rFonts w:ascii="Arial" w:hAnsi="Arial" w:cs="Arial"/>
          <w:sz w:val="16"/>
          <w:szCs w:val="16"/>
        </w:rPr>
        <w:t>.</w:t>
      </w:r>
    </w:p>
    <w:p w:rsidR="008D55A0" w:rsidRPr="003D647F" w:rsidRDefault="008D55A0" w:rsidP="008D55A0">
      <w:pPr>
        <w:pStyle w:val="Paragrafoelenco1"/>
        <w:spacing w:after="0" w:line="288" w:lineRule="auto"/>
        <w:ind w:left="1429"/>
        <w:jc w:val="both"/>
        <w:rPr>
          <w:rFonts w:ascii="Arial" w:hAnsi="Arial" w:cs="Arial"/>
          <w:sz w:val="16"/>
          <w:szCs w:val="16"/>
        </w:rPr>
      </w:pPr>
    </w:p>
    <w:p w:rsidR="008D55A0" w:rsidRPr="008D55A0" w:rsidRDefault="008D55A0" w:rsidP="008D55A0">
      <w:pPr>
        <w:pStyle w:val="Paragrafoelenco1"/>
        <w:spacing w:after="0" w:line="288" w:lineRule="auto"/>
        <w:jc w:val="both"/>
        <w:rPr>
          <w:rFonts w:ascii="Arial" w:hAnsi="Arial" w:cs="Arial"/>
          <w:sz w:val="16"/>
          <w:szCs w:val="16"/>
        </w:rPr>
      </w:pPr>
      <w:r w:rsidRPr="008D55A0">
        <w:rPr>
          <w:rFonts w:ascii="Arial" w:hAnsi="Arial" w:cs="Arial"/>
          <w:b/>
          <w:sz w:val="16"/>
          <w:szCs w:val="16"/>
        </w:rPr>
        <w:t>Per il presente numero</w:t>
      </w:r>
    </w:p>
    <w:p w:rsidR="008D55A0" w:rsidRPr="008D55A0" w:rsidRDefault="008D55A0" w:rsidP="008D55A0">
      <w:pPr>
        <w:pStyle w:val="Paragrafoelenco1"/>
        <w:numPr>
          <w:ilvl w:val="0"/>
          <w:numId w:val="6"/>
        </w:numPr>
        <w:spacing w:after="0" w:line="288" w:lineRule="auto"/>
        <w:jc w:val="both"/>
        <w:rPr>
          <w:rFonts w:ascii="Arial" w:hAnsi="Arial" w:cs="Arial"/>
          <w:sz w:val="16"/>
          <w:szCs w:val="16"/>
        </w:rPr>
      </w:pPr>
      <w:r w:rsidRPr="008D55A0">
        <w:rPr>
          <w:rFonts w:ascii="Arial" w:hAnsi="Arial" w:cs="Arial"/>
          <w:sz w:val="16"/>
          <w:szCs w:val="16"/>
        </w:rPr>
        <w:t>I dati sulle ore di CIG effettivamente utilizzate sono stati destagionalizzati e, per gli ultimi due mesi, stimati con TRAMO-SEATS;</w:t>
      </w:r>
    </w:p>
    <w:p w:rsidR="008D55A0" w:rsidRPr="008D55A0" w:rsidRDefault="008D55A0" w:rsidP="008D55A0">
      <w:pPr>
        <w:pStyle w:val="Paragrafoelenco1"/>
        <w:numPr>
          <w:ilvl w:val="0"/>
          <w:numId w:val="6"/>
        </w:numPr>
        <w:spacing w:after="0" w:line="288" w:lineRule="auto"/>
        <w:jc w:val="both"/>
        <w:rPr>
          <w:rFonts w:ascii="Arial" w:hAnsi="Arial" w:cs="Arial"/>
          <w:sz w:val="16"/>
          <w:szCs w:val="16"/>
        </w:rPr>
      </w:pPr>
      <w:r w:rsidRPr="008D55A0">
        <w:rPr>
          <w:rFonts w:ascii="Arial" w:hAnsi="Arial" w:cs="Arial"/>
          <w:sz w:val="16"/>
          <w:szCs w:val="16"/>
        </w:rPr>
        <w:t xml:space="preserve">I dati sulle forze di lavoro potenziali per gli ultimi quattro mesi sono stimati applicando ai dati trimestrali un modello di previsione che tenga conto delle ciclicità stagionali (le elaborazioni sono state effettuate con TRAMO-SEATS). La previsione è stata poi opportunamente </w:t>
      </w:r>
      <w:proofErr w:type="spellStart"/>
      <w:r w:rsidRPr="008D55A0">
        <w:rPr>
          <w:rFonts w:ascii="Arial" w:hAnsi="Arial" w:cs="Arial"/>
          <w:sz w:val="16"/>
          <w:szCs w:val="16"/>
        </w:rPr>
        <w:t>mensilizzata</w:t>
      </w:r>
      <w:proofErr w:type="spellEnd"/>
      <w:r w:rsidRPr="008D55A0">
        <w:rPr>
          <w:rFonts w:ascii="Arial" w:hAnsi="Arial" w:cs="Arial"/>
          <w:sz w:val="16"/>
          <w:szCs w:val="16"/>
        </w:rPr>
        <w:t xml:space="preserve">. </w:t>
      </w:r>
    </w:p>
    <w:p w:rsidR="008D55A0" w:rsidRPr="009D3CE8" w:rsidRDefault="008D55A0" w:rsidP="008D55A0">
      <w:pPr>
        <w:pStyle w:val="Paragrafoelenco1"/>
        <w:spacing w:after="0" w:line="24" w:lineRule="atLeast"/>
        <w:jc w:val="both"/>
        <w:rPr>
          <w:rFonts w:ascii="Arial" w:hAnsi="Arial" w:cs="Arial"/>
          <w:sz w:val="16"/>
          <w:szCs w:val="16"/>
        </w:rPr>
      </w:pPr>
    </w:p>
    <w:p w:rsidR="008D55A0" w:rsidRDefault="008D55A0" w:rsidP="008D55A0">
      <w:pPr>
        <w:pStyle w:val="Paragrafoelenco1"/>
        <w:spacing w:after="0" w:line="288" w:lineRule="auto"/>
        <w:ind w:left="0" w:firstLine="709"/>
        <w:jc w:val="both"/>
        <w:rPr>
          <w:rFonts w:ascii="Arial" w:hAnsi="Arial" w:cs="Arial"/>
          <w:b/>
          <w:sz w:val="16"/>
          <w:szCs w:val="16"/>
          <w:lang w:val="en-US"/>
        </w:rPr>
      </w:pPr>
      <w:proofErr w:type="spellStart"/>
      <w:r w:rsidRPr="009D3CE8">
        <w:rPr>
          <w:rFonts w:ascii="Arial" w:hAnsi="Arial" w:cs="Arial"/>
          <w:b/>
          <w:sz w:val="16"/>
          <w:szCs w:val="16"/>
          <w:lang w:val="en-US"/>
        </w:rPr>
        <w:t>Riferimenti</w:t>
      </w:r>
      <w:proofErr w:type="spellEnd"/>
    </w:p>
    <w:p w:rsidR="008D55A0" w:rsidRPr="009D3CE8" w:rsidRDefault="008D55A0" w:rsidP="008D55A0">
      <w:pPr>
        <w:pStyle w:val="Paragrafoelenco1"/>
        <w:spacing w:after="0" w:line="288" w:lineRule="auto"/>
        <w:ind w:left="0" w:firstLine="709"/>
        <w:jc w:val="both"/>
        <w:rPr>
          <w:rFonts w:ascii="Arial" w:hAnsi="Arial" w:cs="Arial"/>
          <w:b/>
          <w:sz w:val="16"/>
          <w:szCs w:val="16"/>
          <w:lang w:val="en-US"/>
        </w:rPr>
      </w:pPr>
    </w:p>
    <w:p w:rsidR="008D55A0" w:rsidRPr="009D3CE8" w:rsidRDefault="008D55A0" w:rsidP="008D55A0">
      <w:pPr>
        <w:pStyle w:val="Paragrafoelenco1"/>
        <w:numPr>
          <w:ilvl w:val="0"/>
          <w:numId w:val="9"/>
        </w:numPr>
        <w:spacing w:after="0" w:line="288" w:lineRule="auto"/>
        <w:ind w:left="0"/>
        <w:jc w:val="both"/>
        <w:rPr>
          <w:rFonts w:ascii="Arial" w:hAnsi="Arial" w:cs="Arial"/>
          <w:sz w:val="16"/>
          <w:szCs w:val="16"/>
          <w:lang w:val="en-US"/>
        </w:rPr>
      </w:pPr>
      <w:proofErr w:type="spellStart"/>
      <w:r w:rsidRPr="009D3CE8">
        <w:rPr>
          <w:rFonts w:ascii="Arial" w:hAnsi="Arial" w:cs="Arial"/>
          <w:sz w:val="16"/>
          <w:szCs w:val="16"/>
          <w:lang w:val="en-US"/>
        </w:rPr>
        <w:t>Becchetti</w:t>
      </w:r>
      <w:proofErr w:type="spellEnd"/>
      <w:r w:rsidRPr="009D3CE8">
        <w:rPr>
          <w:rFonts w:ascii="Arial" w:hAnsi="Arial" w:cs="Arial"/>
          <w:sz w:val="16"/>
          <w:szCs w:val="16"/>
          <w:lang w:val="en-US"/>
        </w:rPr>
        <w:t xml:space="preserve"> L., Castriota S., </w:t>
      </w:r>
      <w:proofErr w:type="spellStart"/>
      <w:r w:rsidRPr="009D3CE8">
        <w:rPr>
          <w:rFonts w:ascii="Arial" w:hAnsi="Arial" w:cs="Arial"/>
          <w:sz w:val="16"/>
          <w:szCs w:val="16"/>
          <w:lang w:val="en-US"/>
        </w:rPr>
        <w:t>Giuntella</w:t>
      </w:r>
      <w:proofErr w:type="spellEnd"/>
      <w:r w:rsidRPr="009D3CE8">
        <w:rPr>
          <w:rFonts w:ascii="Arial" w:hAnsi="Arial" w:cs="Arial"/>
          <w:sz w:val="16"/>
          <w:szCs w:val="16"/>
          <w:lang w:val="en-US"/>
        </w:rPr>
        <w:t xml:space="preserve"> O. (2010), “The Effects of Age and Job Protection on the Welfare Costs of Inflation and Unemployment”, European Journal of Political Economy, Vol. 26, pp. 137-146. </w:t>
      </w:r>
    </w:p>
    <w:p w:rsidR="008D55A0" w:rsidRPr="009D3CE8" w:rsidRDefault="008D55A0" w:rsidP="008D55A0">
      <w:pPr>
        <w:pStyle w:val="Paragrafoelenco1"/>
        <w:spacing w:after="0" w:line="288" w:lineRule="auto"/>
        <w:ind w:left="0"/>
        <w:jc w:val="both"/>
        <w:rPr>
          <w:rFonts w:ascii="Arial" w:hAnsi="Arial" w:cs="Arial"/>
          <w:sz w:val="16"/>
          <w:szCs w:val="16"/>
          <w:lang w:val="en-US"/>
        </w:rPr>
      </w:pPr>
    </w:p>
    <w:p w:rsidR="008D55A0" w:rsidRPr="009D3CE8" w:rsidRDefault="008D55A0" w:rsidP="008D55A0">
      <w:pPr>
        <w:pStyle w:val="Paragrafoelenco1"/>
        <w:numPr>
          <w:ilvl w:val="0"/>
          <w:numId w:val="9"/>
        </w:numPr>
        <w:spacing w:after="0" w:line="288" w:lineRule="auto"/>
        <w:ind w:left="0"/>
        <w:jc w:val="both"/>
        <w:rPr>
          <w:rFonts w:ascii="Arial" w:hAnsi="Arial" w:cs="Arial"/>
          <w:sz w:val="16"/>
          <w:szCs w:val="16"/>
          <w:lang w:val="en-US"/>
        </w:rPr>
      </w:pPr>
      <w:r w:rsidRPr="009D3CE8">
        <w:rPr>
          <w:rFonts w:ascii="Arial" w:hAnsi="Arial" w:cs="Arial"/>
          <w:sz w:val="16"/>
          <w:szCs w:val="16"/>
          <w:lang w:val="en-US"/>
        </w:rPr>
        <w:t xml:space="preserve">Di </w:t>
      </w:r>
      <w:proofErr w:type="spellStart"/>
      <w:r w:rsidRPr="009D3CE8">
        <w:rPr>
          <w:rFonts w:ascii="Arial" w:hAnsi="Arial" w:cs="Arial"/>
          <w:sz w:val="16"/>
          <w:szCs w:val="16"/>
          <w:lang w:val="en-US"/>
        </w:rPr>
        <w:t>Tella</w:t>
      </w:r>
      <w:proofErr w:type="spellEnd"/>
      <w:r w:rsidRPr="009D3CE8">
        <w:rPr>
          <w:rFonts w:ascii="Arial" w:hAnsi="Arial" w:cs="Arial"/>
          <w:sz w:val="16"/>
          <w:szCs w:val="16"/>
          <w:lang w:val="en-US"/>
        </w:rPr>
        <w:t xml:space="preserve"> R., </w:t>
      </w:r>
      <w:proofErr w:type="spellStart"/>
      <w:r w:rsidRPr="009D3CE8">
        <w:rPr>
          <w:rFonts w:ascii="Arial" w:hAnsi="Arial" w:cs="Arial"/>
          <w:sz w:val="16"/>
          <w:szCs w:val="16"/>
          <w:lang w:val="en-US"/>
        </w:rPr>
        <w:t>MacCulloch</w:t>
      </w:r>
      <w:proofErr w:type="spellEnd"/>
      <w:r w:rsidRPr="009D3CE8">
        <w:rPr>
          <w:rFonts w:ascii="Arial" w:hAnsi="Arial" w:cs="Arial"/>
          <w:sz w:val="16"/>
          <w:szCs w:val="16"/>
          <w:lang w:val="en-US"/>
        </w:rPr>
        <w:t xml:space="preserve"> R., Oswald A. (2001), “Preferences over Inflation and Unemployment: Evidence from Surveys of Happiness”, American Economic Review, Vol. 91, pp. 335-341.</w:t>
      </w:r>
    </w:p>
    <w:p w:rsidR="00E66F45" w:rsidRPr="00DF781B" w:rsidRDefault="00E66F45" w:rsidP="008D55A0">
      <w:pPr>
        <w:pStyle w:val="Paragrafoelenco1"/>
        <w:spacing w:after="0" w:line="288" w:lineRule="auto"/>
        <w:ind w:left="0" w:firstLine="709"/>
        <w:jc w:val="both"/>
        <w:rPr>
          <w:rFonts w:ascii="Verdana" w:hAnsi="Verdana"/>
          <w:b/>
          <w:bCs/>
          <w:sz w:val="20"/>
          <w:szCs w:val="20"/>
          <w:lang w:val="en-US"/>
        </w:rPr>
      </w:pPr>
    </w:p>
    <w:sectPr w:rsidR="00E66F45" w:rsidRPr="00DF781B" w:rsidSect="003132BF">
      <w:footerReference w:type="even" r:id="rId11"/>
      <w:footerReference w:type="default" r:id="rId12"/>
      <w:pgSz w:w="11906" w:h="16838"/>
      <w:pgMar w:top="851" w:right="851" w:bottom="851" w:left="85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91" w:rsidRDefault="00056791">
      <w:r>
        <w:separator/>
      </w:r>
    </w:p>
  </w:endnote>
  <w:endnote w:type="continuationSeparator" w:id="0">
    <w:p w:rsidR="00056791" w:rsidRDefault="0005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91" w:rsidRDefault="000567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56791" w:rsidRDefault="000567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91" w:rsidRDefault="00056791">
    <w:pPr>
      <w:pStyle w:val="Pidipagina"/>
      <w:framePr w:wrap="around" w:vAnchor="text" w:hAnchor="margin" w:xAlign="right" w:y="1"/>
      <w:rPr>
        <w:rStyle w:val="Numeropagina"/>
        <w:sz w:val="18"/>
      </w:rPr>
    </w:pPr>
    <w:r>
      <w:rPr>
        <w:rStyle w:val="Numeropagina"/>
        <w:sz w:val="18"/>
      </w:rPr>
      <w:fldChar w:fldCharType="begin"/>
    </w:r>
    <w:r>
      <w:rPr>
        <w:rStyle w:val="Numeropagina"/>
        <w:sz w:val="18"/>
      </w:rPr>
      <w:instrText xml:space="preserve">PAGE  </w:instrText>
    </w:r>
    <w:r>
      <w:rPr>
        <w:rStyle w:val="Numeropagina"/>
        <w:sz w:val="18"/>
      </w:rPr>
      <w:fldChar w:fldCharType="separate"/>
    </w:r>
    <w:r w:rsidR="006724F7">
      <w:rPr>
        <w:rStyle w:val="Numeropagina"/>
        <w:noProof/>
        <w:sz w:val="18"/>
      </w:rPr>
      <w:t>2</w:t>
    </w:r>
    <w:r>
      <w:rPr>
        <w:rStyle w:val="Numeropagina"/>
        <w:sz w:val="18"/>
      </w:rPr>
      <w:fldChar w:fldCharType="end"/>
    </w:r>
  </w:p>
  <w:p w:rsidR="00056791" w:rsidRPr="00421D14" w:rsidRDefault="00056791">
    <w:pPr>
      <w:pStyle w:val="Pidipagina"/>
      <w:ind w:right="360"/>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91" w:rsidRDefault="00056791">
      <w:r>
        <w:separator/>
      </w:r>
    </w:p>
  </w:footnote>
  <w:footnote w:type="continuationSeparator" w:id="0">
    <w:p w:rsidR="00056791" w:rsidRDefault="0005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05F"/>
    <w:multiLevelType w:val="hybridMultilevel"/>
    <w:tmpl w:val="7AC8D3E2"/>
    <w:lvl w:ilvl="0" w:tplc="280A51A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E560644"/>
    <w:multiLevelType w:val="hybridMultilevel"/>
    <w:tmpl w:val="08446504"/>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22066EAF"/>
    <w:multiLevelType w:val="hybridMultilevel"/>
    <w:tmpl w:val="4DE0F05E"/>
    <w:lvl w:ilvl="0" w:tplc="5B8091D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D212AA6"/>
    <w:multiLevelType w:val="hybridMultilevel"/>
    <w:tmpl w:val="D9ECD786"/>
    <w:lvl w:ilvl="0" w:tplc="C32E4740">
      <w:start w:val="1"/>
      <w:numFmt w:val="decimal"/>
      <w:lvlText w:val="%1."/>
      <w:lvlJc w:val="left"/>
      <w:pPr>
        <w:ind w:left="1429"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69F5193"/>
    <w:multiLevelType w:val="hybridMultilevel"/>
    <w:tmpl w:val="CDF00890"/>
    <w:lvl w:ilvl="0" w:tplc="EF50616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D372B86"/>
    <w:multiLevelType w:val="hybridMultilevel"/>
    <w:tmpl w:val="DB62CCA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07C21C9"/>
    <w:multiLevelType w:val="hybridMultilevel"/>
    <w:tmpl w:val="C22C9596"/>
    <w:lvl w:ilvl="0" w:tplc="0EA4109A">
      <w:numFmt w:val="bullet"/>
      <w:lvlText w:val="-"/>
      <w:lvlJc w:val="left"/>
      <w:pPr>
        <w:ind w:left="1429" w:hanging="360"/>
      </w:pPr>
      <w:rPr>
        <w:rFonts w:ascii="Arial" w:eastAsia="Times New Roman" w:hAnsi="Arial" w:cs="Arial" w:hint="default"/>
        <w:b w:val="0"/>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7">
    <w:nsid w:val="75842D86"/>
    <w:multiLevelType w:val="hybridMultilevel"/>
    <w:tmpl w:val="51441E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mailMerge>
    <w:mainDocumentType w:val="formLetters"/>
    <w:linkToQuery/>
    <w:dataType w:val="textFile"/>
    <w:connectString w:val=""/>
    <w:query w:val="SELECT * FROM C:\Documents and Settings\vagnini\Desktop\frase.doc"/>
    <w:activeRecord w:val="-1"/>
    <w:odso/>
  </w:mailMerge>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58"/>
    <w:rsid w:val="0002149F"/>
    <w:rsid w:val="00021B19"/>
    <w:rsid w:val="00027A06"/>
    <w:rsid w:val="0003230A"/>
    <w:rsid w:val="000474A3"/>
    <w:rsid w:val="00056791"/>
    <w:rsid w:val="000613AC"/>
    <w:rsid w:val="00071189"/>
    <w:rsid w:val="00071F8A"/>
    <w:rsid w:val="000779B6"/>
    <w:rsid w:val="0008151E"/>
    <w:rsid w:val="0009565E"/>
    <w:rsid w:val="000A561C"/>
    <w:rsid w:val="000A5AA1"/>
    <w:rsid w:val="000C40F0"/>
    <w:rsid w:val="000C549D"/>
    <w:rsid w:val="000D100E"/>
    <w:rsid w:val="00100C9E"/>
    <w:rsid w:val="0010460A"/>
    <w:rsid w:val="00107095"/>
    <w:rsid w:val="001077AC"/>
    <w:rsid w:val="00107CB3"/>
    <w:rsid w:val="001154D4"/>
    <w:rsid w:val="00122B70"/>
    <w:rsid w:val="001445F3"/>
    <w:rsid w:val="00155176"/>
    <w:rsid w:val="00160661"/>
    <w:rsid w:val="001836B8"/>
    <w:rsid w:val="00184971"/>
    <w:rsid w:val="00185147"/>
    <w:rsid w:val="00190D88"/>
    <w:rsid w:val="001B187A"/>
    <w:rsid w:val="001C257D"/>
    <w:rsid w:val="001D44CD"/>
    <w:rsid w:val="001D7312"/>
    <w:rsid w:val="001E7213"/>
    <w:rsid w:val="001F1F60"/>
    <w:rsid w:val="001F5736"/>
    <w:rsid w:val="00207FB3"/>
    <w:rsid w:val="002134F5"/>
    <w:rsid w:val="00230563"/>
    <w:rsid w:val="00234503"/>
    <w:rsid w:val="00244867"/>
    <w:rsid w:val="00264920"/>
    <w:rsid w:val="00264AB9"/>
    <w:rsid w:val="00270C99"/>
    <w:rsid w:val="00284D54"/>
    <w:rsid w:val="002A7E49"/>
    <w:rsid w:val="002B638E"/>
    <w:rsid w:val="002E4040"/>
    <w:rsid w:val="002E7967"/>
    <w:rsid w:val="00305509"/>
    <w:rsid w:val="003132BF"/>
    <w:rsid w:val="00314B8B"/>
    <w:rsid w:val="00315EE4"/>
    <w:rsid w:val="00330605"/>
    <w:rsid w:val="00355A9D"/>
    <w:rsid w:val="00363CB5"/>
    <w:rsid w:val="00372EE8"/>
    <w:rsid w:val="003850FD"/>
    <w:rsid w:val="00385EBF"/>
    <w:rsid w:val="00394728"/>
    <w:rsid w:val="00394B9C"/>
    <w:rsid w:val="003A7106"/>
    <w:rsid w:val="003B20A7"/>
    <w:rsid w:val="003C26C0"/>
    <w:rsid w:val="003C2F61"/>
    <w:rsid w:val="003C3259"/>
    <w:rsid w:val="003C53B4"/>
    <w:rsid w:val="003D35B8"/>
    <w:rsid w:val="003E23E8"/>
    <w:rsid w:val="00416E0F"/>
    <w:rsid w:val="00421D14"/>
    <w:rsid w:val="00424437"/>
    <w:rsid w:val="00435DB9"/>
    <w:rsid w:val="004418EB"/>
    <w:rsid w:val="0044362E"/>
    <w:rsid w:val="00457D77"/>
    <w:rsid w:val="00460FE4"/>
    <w:rsid w:val="004622BA"/>
    <w:rsid w:val="0046338C"/>
    <w:rsid w:val="00494724"/>
    <w:rsid w:val="004B3564"/>
    <w:rsid w:val="004D2E8A"/>
    <w:rsid w:val="004D4B84"/>
    <w:rsid w:val="004E49CD"/>
    <w:rsid w:val="00526C01"/>
    <w:rsid w:val="005335F9"/>
    <w:rsid w:val="00535165"/>
    <w:rsid w:val="005375E5"/>
    <w:rsid w:val="005539E5"/>
    <w:rsid w:val="00560AD1"/>
    <w:rsid w:val="00564E65"/>
    <w:rsid w:val="0057577B"/>
    <w:rsid w:val="005A54D8"/>
    <w:rsid w:val="005B378F"/>
    <w:rsid w:val="005B6799"/>
    <w:rsid w:val="005C7ED7"/>
    <w:rsid w:val="005D4495"/>
    <w:rsid w:val="005D75F1"/>
    <w:rsid w:val="005E4CDB"/>
    <w:rsid w:val="005F4654"/>
    <w:rsid w:val="005F5A73"/>
    <w:rsid w:val="00601026"/>
    <w:rsid w:val="00606A0F"/>
    <w:rsid w:val="00611BEE"/>
    <w:rsid w:val="006213EA"/>
    <w:rsid w:val="006724F7"/>
    <w:rsid w:val="00676B1F"/>
    <w:rsid w:val="00682BFB"/>
    <w:rsid w:val="00685FEA"/>
    <w:rsid w:val="006A294E"/>
    <w:rsid w:val="006A5875"/>
    <w:rsid w:val="006C1A5A"/>
    <w:rsid w:val="006D0554"/>
    <w:rsid w:val="006D53F8"/>
    <w:rsid w:val="006E557C"/>
    <w:rsid w:val="006F62EA"/>
    <w:rsid w:val="006F7643"/>
    <w:rsid w:val="00700854"/>
    <w:rsid w:val="0070364F"/>
    <w:rsid w:val="007120EA"/>
    <w:rsid w:val="007252DD"/>
    <w:rsid w:val="007320AC"/>
    <w:rsid w:val="00742DD6"/>
    <w:rsid w:val="00780D99"/>
    <w:rsid w:val="007A4912"/>
    <w:rsid w:val="007B37B5"/>
    <w:rsid w:val="007C3028"/>
    <w:rsid w:val="007C6AFF"/>
    <w:rsid w:val="007D4469"/>
    <w:rsid w:val="007E7968"/>
    <w:rsid w:val="008022C0"/>
    <w:rsid w:val="008321C2"/>
    <w:rsid w:val="008611A6"/>
    <w:rsid w:val="00873EE1"/>
    <w:rsid w:val="0089178A"/>
    <w:rsid w:val="008953AC"/>
    <w:rsid w:val="008978CC"/>
    <w:rsid w:val="008A45FD"/>
    <w:rsid w:val="008B2B94"/>
    <w:rsid w:val="008D55A0"/>
    <w:rsid w:val="00921713"/>
    <w:rsid w:val="0093735A"/>
    <w:rsid w:val="00940D75"/>
    <w:rsid w:val="00951391"/>
    <w:rsid w:val="00975F75"/>
    <w:rsid w:val="00976624"/>
    <w:rsid w:val="00980DAB"/>
    <w:rsid w:val="009A0FFC"/>
    <w:rsid w:val="009A2652"/>
    <w:rsid w:val="009C2CA3"/>
    <w:rsid w:val="009C584B"/>
    <w:rsid w:val="009C5B01"/>
    <w:rsid w:val="009D24CF"/>
    <w:rsid w:val="00A2129C"/>
    <w:rsid w:val="00A37760"/>
    <w:rsid w:val="00A414A4"/>
    <w:rsid w:val="00A45811"/>
    <w:rsid w:val="00A61F34"/>
    <w:rsid w:val="00A72B40"/>
    <w:rsid w:val="00AA4C3E"/>
    <w:rsid w:val="00AB598B"/>
    <w:rsid w:val="00AB60C9"/>
    <w:rsid w:val="00AD2706"/>
    <w:rsid w:val="00AE35E3"/>
    <w:rsid w:val="00AE6062"/>
    <w:rsid w:val="00AF519D"/>
    <w:rsid w:val="00B07F28"/>
    <w:rsid w:val="00B332B8"/>
    <w:rsid w:val="00B34ADD"/>
    <w:rsid w:val="00B424E6"/>
    <w:rsid w:val="00B62AEE"/>
    <w:rsid w:val="00B657C5"/>
    <w:rsid w:val="00B779E3"/>
    <w:rsid w:val="00B81AC4"/>
    <w:rsid w:val="00B86083"/>
    <w:rsid w:val="00B91E38"/>
    <w:rsid w:val="00BB5453"/>
    <w:rsid w:val="00BC3780"/>
    <w:rsid w:val="00BF001C"/>
    <w:rsid w:val="00BF5B15"/>
    <w:rsid w:val="00C05F9F"/>
    <w:rsid w:val="00C27DA3"/>
    <w:rsid w:val="00C42262"/>
    <w:rsid w:val="00C427C2"/>
    <w:rsid w:val="00C475A0"/>
    <w:rsid w:val="00C538E7"/>
    <w:rsid w:val="00C55BA5"/>
    <w:rsid w:val="00C64365"/>
    <w:rsid w:val="00C717E1"/>
    <w:rsid w:val="00C76010"/>
    <w:rsid w:val="00C97692"/>
    <w:rsid w:val="00CB17DF"/>
    <w:rsid w:val="00CB77C0"/>
    <w:rsid w:val="00CC1E62"/>
    <w:rsid w:val="00CD2B90"/>
    <w:rsid w:val="00CD36EE"/>
    <w:rsid w:val="00CF0339"/>
    <w:rsid w:val="00CF3B31"/>
    <w:rsid w:val="00D15EE1"/>
    <w:rsid w:val="00D2291E"/>
    <w:rsid w:val="00D22E7C"/>
    <w:rsid w:val="00D264F0"/>
    <w:rsid w:val="00D41B19"/>
    <w:rsid w:val="00D51BA1"/>
    <w:rsid w:val="00D56621"/>
    <w:rsid w:val="00D70BB1"/>
    <w:rsid w:val="00D712E6"/>
    <w:rsid w:val="00D76096"/>
    <w:rsid w:val="00D9151F"/>
    <w:rsid w:val="00DB0765"/>
    <w:rsid w:val="00DB6E79"/>
    <w:rsid w:val="00DC29F7"/>
    <w:rsid w:val="00DC2DDC"/>
    <w:rsid w:val="00DC4779"/>
    <w:rsid w:val="00DD47BE"/>
    <w:rsid w:val="00DE3DE1"/>
    <w:rsid w:val="00DF781B"/>
    <w:rsid w:val="00DF7C59"/>
    <w:rsid w:val="00E10C28"/>
    <w:rsid w:val="00E11657"/>
    <w:rsid w:val="00E12AC0"/>
    <w:rsid w:val="00E135AA"/>
    <w:rsid w:val="00E261D7"/>
    <w:rsid w:val="00E30D12"/>
    <w:rsid w:val="00E42317"/>
    <w:rsid w:val="00E50358"/>
    <w:rsid w:val="00E66EC0"/>
    <w:rsid w:val="00E66F45"/>
    <w:rsid w:val="00E7255B"/>
    <w:rsid w:val="00EA1226"/>
    <w:rsid w:val="00EB33C0"/>
    <w:rsid w:val="00EB5A1C"/>
    <w:rsid w:val="00EC15D0"/>
    <w:rsid w:val="00EC6316"/>
    <w:rsid w:val="00EF3725"/>
    <w:rsid w:val="00F05050"/>
    <w:rsid w:val="00F11A2C"/>
    <w:rsid w:val="00F20A55"/>
    <w:rsid w:val="00F21E3E"/>
    <w:rsid w:val="00F23A9E"/>
    <w:rsid w:val="00F3572B"/>
    <w:rsid w:val="00F35806"/>
    <w:rsid w:val="00F446A9"/>
    <w:rsid w:val="00F52D53"/>
    <w:rsid w:val="00F53207"/>
    <w:rsid w:val="00F62835"/>
    <w:rsid w:val="00F8461A"/>
    <w:rsid w:val="00F91040"/>
    <w:rsid w:val="00F978CB"/>
    <w:rsid w:val="00FB4E4B"/>
    <w:rsid w:val="00FC3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Geneva" w:hAnsi="Geneva"/>
      <w:sz w:val="28"/>
    </w:rPr>
  </w:style>
  <w:style w:type="paragraph" w:styleId="Titolo1">
    <w:name w:val="heading 1"/>
    <w:basedOn w:val="Normale"/>
    <w:next w:val="Normale"/>
    <w:qFormat/>
    <w:pPr>
      <w:keepNext/>
      <w:jc w:val="center"/>
      <w:outlineLvl w:val="0"/>
    </w:pPr>
    <w:rPr>
      <w:rFonts w:ascii="Times New Roman" w:eastAsia="Times New Roman" w:hAnsi="Times New Roman"/>
      <w:szCs w:val="28"/>
    </w:rPr>
  </w:style>
  <w:style w:type="paragraph" w:styleId="Titolo2">
    <w:name w:val="heading 2"/>
    <w:basedOn w:val="Normale"/>
    <w:next w:val="Normale"/>
    <w:qFormat/>
    <w:pPr>
      <w:keepNext/>
      <w:jc w:val="center"/>
      <w:outlineLvl w:val="1"/>
    </w:pPr>
    <w:rPr>
      <w:rFonts w:ascii="Times New Roman" w:eastAsia="Times New Roman" w:hAnsi="Times New Roman"/>
      <w:sz w:val="24"/>
      <w:szCs w:val="24"/>
      <w:u w:val="single"/>
    </w:rPr>
  </w:style>
  <w:style w:type="paragraph" w:styleId="Titolo3">
    <w:name w:val="heading 3"/>
    <w:basedOn w:val="Normale"/>
    <w:next w:val="Normale"/>
    <w:qFormat/>
    <w:pPr>
      <w:keepNext/>
      <w:jc w:val="both"/>
      <w:outlineLvl w:val="2"/>
    </w:pPr>
    <w:rPr>
      <w:rFonts w:ascii="Comic Sans MS" w:eastAsia="Times New Roman" w:hAnsi="Comic Sans MS"/>
      <w:b/>
      <w:bCs/>
      <w:i/>
      <w:iCs/>
      <w:color w:val="008080"/>
      <w:szCs w:val="24"/>
    </w:rPr>
  </w:style>
  <w:style w:type="paragraph" w:styleId="Titolo4">
    <w:name w:val="heading 4"/>
    <w:basedOn w:val="Normale"/>
    <w:next w:val="Normale"/>
    <w:qFormat/>
    <w:pPr>
      <w:keepNext/>
      <w:spacing w:line="360" w:lineRule="auto"/>
      <w:jc w:val="center"/>
      <w:outlineLvl w:val="3"/>
    </w:pPr>
    <w:rPr>
      <w:rFonts w:ascii="Verdana" w:eastAsia="Times New Roman" w:hAnsi="Verdana"/>
      <w:b/>
      <w:u w:val="single"/>
    </w:rPr>
  </w:style>
  <w:style w:type="paragraph" w:styleId="Titolo5">
    <w:name w:val="heading 5"/>
    <w:basedOn w:val="Normale"/>
    <w:next w:val="Normale"/>
    <w:qFormat/>
    <w:pPr>
      <w:keepNext/>
      <w:jc w:val="both"/>
      <w:outlineLvl w:val="4"/>
    </w:pPr>
    <w:rPr>
      <w:rFonts w:ascii="Verdana" w:hAnsi="Verdana"/>
      <w:b/>
      <w:bCs/>
      <w:sz w:val="20"/>
    </w:rPr>
  </w:style>
  <w:style w:type="paragraph" w:styleId="Titolo6">
    <w:name w:val="heading 6"/>
    <w:basedOn w:val="Normale"/>
    <w:next w:val="Normale"/>
    <w:qFormat/>
    <w:pPr>
      <w:keepNext/>
      <w:spacing w:before="120" w:after="120"/>
      <w:jc w:val="both"/>
      <w:outlineLvl w:val="5"/>
    </w:pPr>
    <w:rPr>
      <w:rFonts w:ascii="Times New Roman" w:eastAsia="Times New Roman" w:hAnsi="Times New Roman"/>
      <w:b/>
      <w:bCs/>
      <w:sz w:val="24"/>
    </w:rPr>
  </w:style>
  <w:style w:type="paragraph" w:styleId="Titolo7">
    <w:name w:val="heading 7"/>
    <w:basedOn w:val="Normale"/>
    <w:next w:val="Normale"/>
    <w:qFormat/>
    <w:pPr>
      <w:keepNext/>
      <w:jc w:val="both"/>
      <w:outlineLvl w:val="6"/>
    </w:pPr>
    <w:rPr>
      <w:i/>
      <w:iCs/>
      <w:sz w:val="18"/>
    </w:rPr>
  </w:style>
  <w:style w:type="paragraph" w:styleId="Titolo8">
    <w:name w:val="heading 8"/>
    <w:basedOn w:val="Normale"/>
    <w:next w:val="Normale"/>
    <w:qFormat/>
    <w:pPr>
      <w:keepNext/>
      <w:jc w:val="both"/>
      <w:outlineLvl w:val="7"/>
    </w:pPr>
    <w:rPr>
      <w:i/>
      <w:iCs/>
      <w:sz w:val="20"/>
    </w:rPr>
  </w:style>
  <w:style w:type="paragraph" w:styleId="Titolo9">
    <w:name w:val="heading 9"/>
    <w:basedOn w:val="Normale"/>
    <w:next w:val="Normale"/>
    <w:qFormat/>
    <w:pPr>
      <w:keepNext/>
      <w:outlineLvl w:val="8"/>
    </w:pPr>
    <w:rPr>
      <w:rFonts w:ascii="Verdana" w:hAnsi="Verdana"/>
      <w:i/>
      <w:i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link w:val="PidipaginaCarattere"/>
    <w:semiHidden/>
    <w:pPr>
      <w:tabs>
        <w:tab w:val="center" w:pos="4153"/>
        <w:tab w:val="right" w:pos="8306"/>
      </w:tabs>
    </w:pPr>
  </w:style>
  <w:style w:type="paragraph" w:styleId="Corpotesto">
    <w:name w:val="Body Text"/>
    <w:basedOn w:val="Normale"/>
    <w:semiHidden/>
    <w:pPr>
      <w:jc w:val="both"/>
    </w:pPr>
  </w:style>
  <w:style w:type="paragraph" w:styleId="Rientrocorpodeltesto">
    <w:name w:val="Body Text Indent"/>
    <w:basedOn w:val="Normale"/>
    <w:semiHidden/>
    <w:pPr>
      <w:ind w:firstLine="709"/>
      <w:jc w:val="both"/>
    </w:pPr>
    <w:rPr>
      <w:rFonts w:ascii="Arial" w:eastAsia="Times New Roman" w:hAnsi="Arial"/>
      <w:sz w:val="24"/>
    </w:rPr>
  </w:style>
  <w:style w:type="paragraph" w:styleId="Corpodeltesto2">
    <w:name w:val="Body Text 2"/>
    <w:basedOn w:val="Normale"/>
    <w:semiHidden/>
    <w:pPr>
      <w:jc w:val="center"/>
    </w:pPr>
    <w:rPr>
      <w:b/>
      <w:bCs/>
      <w:szCs w:val="28"/>
    </w:rPr>
  </w:style>
  <w:style w:type="character" w:styleId="Collegamentoipertestuale">
    <w:name w:val="Hyperlink"/>
    <w:semiHidden/>
    <w:rPr>
      <w:color w:val="0000FF"/>
      <w:u w:val="single"/>
    </w:rPr>
  </w:style>
  <w:style w:type="paragraph" w:styleId="Corpodeltesto3">
    <w:name w:val="Body Text 3"/>
    <w:basedOn w:val="Normale"/>
    <w:semiHidden/>
    <w:pPr>
      <w:jc w:val="center"/>
    </w:pPr>
    <w:rPr>
      <w:rFonts w:ascii="Verdana" w:hAnsi="Verdana"/>
      <w:sz w:val="16"/>
    </w:rPr>
  </w:style>
  <w:style w:type="character" w:styleId="Numeropagina">
    <w:name w:val="page number"/>
    <w:basedOn w:val="Carpredefinitoparagrafo"/>
    <w:semiHidden/>
  </w:style>
  <w:style w:type="paragraph" w:customStyle="1" w:styleId="xl25">
    <w:name w:val="xl25"/>
    <w:basedOn w:val="Normale"/>
    <w:pPr>
      <w:spacing w:before="100" w:beforeAutospacing="1" w:after="100" w:afterAutospacing="1"/>
    </w:pPr>
    <w:rPr>
      <w:rFonts w:ascii="Verdana" w:eastAsia="Arial Unicode MS" w:hAnsi="Verdana" w:cs="Arial Unicode MS"/>
      <w:sz w:val="24"/>
      <w:szCs w:val="24"/>
    </w:rPr>
  </w:style>
  <w:style w:type="paragraph" w:customStyle="1" w:styleId="RIENTRO">
    <w:name w:val="RIENTRO"/>
    <w:basedOn w:val="Normale"/>
    <w:pPr>
      <w:spacing w:before="120" w:after="120"/>
      <w:ind w:left="284" w:hanging="284"/>
      <w:jc w:val="both"/>
    </w:pPr>
    <w:rPr>
      <w:rFonts w:ascii="Times New Roman" w:eastAsia="Times New Roman" w:hAnsi="Times New Roman"/>
      <w:sz w:val="24"/>
    </w:rPr>
  </w:style>
  <w:style w:type="paragraph" w:styleId="Testonotaapidipagina">
    <w:name w:val="footnote text"/>
    <w:basedOn w:val="Normale"/>
    <w:link w:val="TestonotaapidipaginaCarattere"/>
    <w:uiPriority w:val="99"/>
    <w:semiHidden/>
    <w:pPr>
      <w:ind w:left="284" w:hanging="284"/>
      <w:jc w:val="both"/>
    </w:pPr>
    <w:rPr>
      <w:rFonts w:ascii="Times New Roman" w:eastAsia="Times New Roman" w:hAnsi="Times New Roman"/>
      <w:sz w:val="20"/>
    </w:rPr>
  </w:style>
  <w:style w:type="character" w:styleId="Rimandonotaapidipagina">
    <w:name w:val="footnote reference"/>
    <w:uiPriority w:val="99"/>
    <w:semiHidden/>
    <w:rPr>
      <w:vertAlign w:val="superscript"/>
    </w:rPr>
  </w:style>
  <w:style w:type="paragraph" w:styleId="Rientrocorpodeltesto3">
    <w:name w:val="Body Text Indent 3"/>
    <w:basedOn w:val="Normale"/>
    <w:semiHidden/>
    <w:pPr>
      <w:spacing w:line="360" w:lineRule="auto"/>
      <w:ind w:firstLine="709"/>
      <w:jc w:val="both"/>
    </w:pPr>
    <w:rPr>
      <w:rFonts w:ascii="Verdana" w:eastAsia="Times New Roman" w:hAnsi="Verdana"/>
      <w:b/>
      <w:bCs/>
      <w:i/>
      <w:iCs/>
      <w:sz w:val="20"/>
    </w:rPr>
  </w:style>
  <w:style w:type="paragraph" w:styleId="Rientrocorpodeltesto2">
    <w:name w:val="Body Text Indent 2"/>
    <w:basedOn w:val="Normale"/>
    <w:semiHidden/>
    <w:pPr>
      <w:ind w:firstLine="708"/>
      <w:jc w:val="both"/>
    </w:pPr>
    <w:rPr>
      <w:rFonts w:ascii="Verdana" w:hAnsi="Verdana"/>
      <w:sz w:val="20"/>
    </w:rPr>
  </w:style>
  <w:style w:type="paragraph" w:styleId="Didascalia">
    <w:name w:val="caption"/>
    <w:basedOn w:val="Normale"/>
    <w:next w:val="Normale"/>
    <w:qFormat/>
    <w:rPr>
      <w:rFonts w:ascii="Verdana" w:hAnsi="Verdana"/>
      <w:i/>
      <w:iCs/>
      <w:sz w:val="18"/>
    </w:rPr>
  </w:style>
  <w:style w:type="paragraph" w:customStyle="1" w:styleId="xl27">
    <w:name w:val="xl27"/>
    <w:basedOn w:val="Normale"/>
    <w:pPr>
      <w:spacing w:before="100" w:beforeAutospacing="1" w:after="100" w:afterAutospacing="1"/>
      <w:jc w:val="center"/>
    </w:pPr>
    <w:rPr>
      <w:rFonts w:ascii="Kartika" w:eastAsia="Arial Unicode MS" w:hAnsi="Kartika" w:cs="Arial Unicode MS"/>
      <w:sz w:val="24"/>
      <w:szCs w:val="24"/>
    </w:rPr>
  </w:style>
  <w:style w:type="paragraph" w:customStyle="1" w:styleId="xl26">
    <w:name w:val="xl26"/>
    <w:basedOn w:val="Normale"/>
    <w:pPr>
      <w:spacing w:before="100" w:beforeAutospacing="1" w:after="100" w:afterAutospacing="1"/>
      <w:jc w:val="center"/>
    </w:pPr>
    <w:rPr>
      <w:rFonts w:ascii="Verdana" w:eastAsia="Arial Unicode MS" w:hAnsi="Verdana" w:cs="Arial Unicode MS"/>
      <w:b/>
      <w:bCs/>
      <w:sz w:val="16"/>
      <w:szCs w:val="16"/>
    </w:rPr>
  </w:style>
  <w:style w:type="paragraph" w:customStyle="1" w:styleId="xl24">
    <w:name w:val="xl24"/>
    <w:basedOn w:val="Normale"/>
    <w:pPr>
      <w:spacing w:before="100" w:beforeAutospacing="1" w:after="100" w:afterAutospacing="1"/>
    </w:pPr>
    <w:rPr>
      <w:rFonts w:ascii="Verdana" w:eastAsia="Arial Unicode MS" w:hAnsi="Verdana" w:cs="Arial Unicode MS"/>
      <w:b/>
      <w:bCs/>
      <w:sz w:val="16"/>
      <w:szCs w:val="16"/>
    </w:rPr>
  </w:style>
  <w:style w:type="character" w:styleId="Collegamentovisitato">
    <w:name w:val="FollowedHyperlink"/>
    <w:semiHidden/>
    <w:rPr>
      <w:color w:val="800080"/>
      <w:u w:val="single"/>
    </w:rPr>
  </w:style>
  <w:style w:type="paragraph" w:customStyle="1" w:styleId="xl28">
    <w:name w:val="xl28"/>
    <w:basedOn w:val="Normale"/>
    <w:pPr>
      <w:spacing w:before="100" w:beforeAutospacing="1" w:after="100" w:afterAutospacing="1"/>
      <w:jc w:val="center"/>
    </w:pPr>
    <w:rPr>
      <w:rFonts w:ascii="Verdana" w:eastAsia="Arial Unicode MS" w:hAnsi="Verdana" w:cs="Arial Unicode MS"/>
      <w:b/>
      <w:bCs/>
      <w:sz w:val="16"/>
      <w:szCs w:val="16"/>
    </w:rPr>
  </w:style>
  <w:style w:type="paragraph" w:customStyle="1" w:styleId="xl29">
    <w:name w:val="xl29"/>
    <w:basedOn w:val="Normale"/>
    <w:pPr>
      <w:spacing w:before="100" w:beforeAutospacing="1" w:after="100" w:afterAutospacing="1"/>
      <w:jc w:val="center"/>
    </w:pPr>
    <w:rPr>
      <w:rFonts w:ascii="Verdana" w:eastAsia="Arial Unicode MS" w:hAnsi="Verdana" w:cs="Arial Unicode MS"/>
      <w:sz w:val="16"/>
      <w:szCs w:val="16"/>
    </w:rPr>
  </w:style>
  <w:style w:type="paragraph" w:customStyle="1" w:styleId="xl30">
    <w:name w:val="xl30"/>
    <w:basedOn w:val="Normale"/>
    <w:pPr>
      <w:pBdr>
        <w:top w:val="single" w:sz="4" w:space="0" w:color="auto"/>
      </w:pBdr>
      <w:spacing w:before="100" w:beforeAutospacing="1" w:after="100" w:afterAutospacing="1"/>
      <w:jc w:val="center"/>
    </w:pPr>
    <w:rPr>
      <w:rFonts w:ascii="Verdana" w:eastAsia="Arial Unicode MS" w:hAnsi="Verdana" w:cs="Arial Unicode MS"/>
      <w:b/>
      <w:bCs/>
      <w:sz w:val="16"/>
      <w:szCs w:val="16"/>
    </w:rPr>
  </w:style>
  <w:style w:type="paragraph" w:customStyle="1" w:styleId="xl31">
    <w:name w:val="xl31"/>
    <w:basedOn w:val="Normale"/>
    <w:pPr>
      <w:pBdr>
        <w:bottom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xl32">
    <w:name w:val="xl32"/>
    <w:basedOn w:val="Normale"/>
    <w:pPr>
      <w:pBdr>
        <w:bottom w:val="single" w:sz="4" w:space="0" w:color="auto"/>
      </w:pBdr>
      <w:spacing w:before="100" w:beforeAutospacing="1" w:after="100" w:afterAutospacing="1"/>
      <w:jc w:val="center"/>
    </w:pPr>
    <w:rPr>
      <w:rFonts w:ascii="Verdana" w:eastAsia="Arial Unicode MS" w:hAnsi="Verdana" w:cs="Arial Unicode MS"/>
      <w:sz w:val="16"/>
      <w:szCs w:val="16"/>
    </w:rPr>
  </w:style>
  <w:style w:type="paragraph" w:customStyle="1" w:styleId="xl33">
    <w:name w:val="xl33"/>
    <w:basedOn w:val="Normale"/>
    <w:pPr>
      <w:pBdr>
        <w:bottom w:val="single" w:sz="4" w:space="0" w:color="auto"/>
      </w:pBdr>
      <w:spacing w:before="100" w:beforeAutospacing="1" w:after="100" w:afterAutospacing="1"/>
      <w:jc w:val="center"/>
    </w:pPr>
    <w:rPr>
      <w:rFonts w:ascii="Verdana" w:eastAsia="Arial Unicode MS" w:hAnsi="Verdana" w:cs="Arial Unicode MS"/>
      <w:b/>
      <w:bCs/>
      <w:sz w:val="16"/>
      <w:szCs w:val="16"/>
    </w:rPr>
  </w:style>
  <w:style w:type="paragraph" w:customStyle="1" w:styleId="xl34">
    <w:name w:val="xl34"/>
    <w:basedOn w:val="Normale"/>
    <w:pPr>
      <w:pBdr>
        <w:bottom w:val="single" w:sz="4" w:space="0" w:color="auto"/>
      </w:pBdr>
      <w:spacing w:before="100" w:beforeAutospacing="1" w:after="100" w:afterAutospacing="1"/>
      <w:jc w:val="center"/>
    </w:pPr>
    <w:rPr>
      <w:rFonts w:ascii="Verdana" w:eastAsia="Arial Unicode MS" w:hAnsi="Verdana" w:cs="Arial Unicode MS"/>
      <w:sz w:val="16"/>
      <w:szCs w:val="16"/>
    </w:rPr>
  </w:style>
  <w:style w:type="paragraph" w:customStyle="1" w:styleId="xl35">
    <w:name w:val="xl35"/>
    <w:basedOn w:val="Normale"/>
    <w:pPr>
      <w:pBdr>
        <w:top w:val="single" w:sz="4" w:space="0" w:color="auto"/>
      </w:pBdr>
      <w:spacing w:before="100" w:beforeAutospacing="1" w:after="100" w:afterAutospacing="1"/>
      <w:jc w:val="center"/>
    </w:pPr>
    <w:rPr>
      <w:rFonts w:ascii="Verdana" w:eastAsia="Arial Unicode MS" w:hAnsi="Verdana" w:cs="Arial Unicode MS"/>
      <w:sz w:val="16"/>
      <w:szCs w:val="16"/>
    </w:rPr>
  </w:style>
  <w:style w:type="paragraph" w:styleId="Testodelblocco">
    <w:name w:val="Block Text"/>
    <w:basedOn w:val="Normale"/>
    <w:semiHidden/>
    <w:pPr>
      <w:autoSpaceDE w:val="0"/>
      <w:autoSpaceDN w:val="0"/>
      <w:adjustRightInd w:val="0"/>
      <w:ind w:left="567" w:right="565"/>
      <w:jc w:val="both"/>
    </w:pPr>
    <w:rPr>
      <w:rFonts w:ascii="Verdana" w:hAnsi="Verdana"/>
      <w:sz w:val="20"/>
    </w:rPr>
  </w:style>
  <w:style w:type="paragraph" w:styleId="Testofumetto">
    <w:name w:val="Balloon Text"/>
    <w:basedOn w:val="Normale"/>
    <w:semiHidden/>
    <w:unhideWhenUsed/>
    <w:rPr>
      <w:rFonts w:ascii="Tahoma" w:hAnsi="Tahoma"/>
      <w:sz w:val="16"/>
      <w:szCs w:val="16"/>
      <w:lang w:val="x-none" w:eastAsia="x-none"/>
    </w:rPr>
  </w:style>
  <w:style w:type="character" w:customStyle="1" w:styleId="TestofumettoCarattere">
    <w:name w:val="Testo fumetto Carattere"/>
    <w:semiHidden/>
    <w:rPr>
      <w:rFonts w:ascii="Tahoma" w:hAnsi="Tahoma" w:cs="Tahoma"/>
      <w:sz w:val="16"/>
      <w:szCs w:val="16"/>
    </w:rPr>
  </w:style>
  <w:style w:type="character" w:customStyle="1" w:styleId="PidipaginaCarattere">
    <w:name w:val="Piè di pagina Carattere"/>
    <w:link w:val="Pidipagina"/>
    <w:semiHidden/>
    <w:rsid w:val="00F20A55"/>
    <w:rPr>
      <w:rFonts w:ascii="Geneva" w:hAnsi="Geneva"/>
      <w:sz w:val="28"/>
    </w:rPr>
  </w:style>
  <w:style w:type="character" w:customStyle="1" w:styleId="TestonotaapidipaginaCarattere">
    <w:name w:val="Testo nota a piè di pagina Carattere"/>
    <w:basedOn w:val="Carpredefinitoparagrafo"/>
    <w:link w:val="Testonotaapidipagina"/>
    <w:uiPriority w:val="99"/>
    <w:semiHidden/>
    <w:rsid w:val="009A2652"/>
    <w:rPr>
      <w:rFonts w:ascii="Times New Roman" w:eastAsia="Times New Roman" w:hAnsi="Times New Roman"/>
    </w:rPr>
  </w:style>
  <w:style w:type="paragraph" w:customStyle="1" w:styleId="Paragrafoelenco1">
    <w:name w:val="Paragrafo elenco1"/>
    <w:basedOn w:val="Normale"/>
    <w:rsid w:val="009A2652"/>
    <w:pPr>
      <w:spacing w:after="200" w:line="276" w:lineRule="auto"/>
      <w:ind w:left="720"/>
      <w:contextualSpacing/>
    </w:pPr>
    <w:rPr>
      <w:rFonts w:ascii="Calibri" w:eastAsia="Times New Roman" w:hAnsi="Calibri"/>
      <w:sz w:val="22"/>
      <w:szCs w:val="22"/>
      <w:lang w:eastAsia="en-US"/>
    </w:rPr>
  </w:style>
  <w:style w:type="paragraph" w:styleId="Paragrafoelenco">
    <w:name w:val="List Paragraph"/>
    <w:basedOn w:val="Normale"/>
    <w:uiPriority w:val="34"/>
    <w:qFormat/>
    <w:rsid w:val="0005679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Geneva" w:hAnsi="Geneva"/>
      <w:sz w:val="28"/>
    </w:rPr>
  </w:style>
  <w:style w:type="paragraph" w:styleId="Titolo1">
    <w:name w:val="heading 1"/>
    <w:basedOn w:val="Normale"/>
    <w:next w:val="Normale"/>
    <w:qFormat/>
    <w:pPr>
      <w:keepNext/>
      <w:jc w:val="center"/>
      <w:outlineLvl w:val="0"/>
    </w:pPr>
    <w:rPr>
      <w:rFonts w:ascii="Times New Roman" w:eastAsia="Times New Roman" w:hAnsi="Times New Roman"/>
      <w:szCs w:val="28"/>
    </w:rPr>
  </w:style>
  <w:style w:type="paragraph" w:styleId="Titolo2">
    <w:name w:val="heading 2"/>
    <w:basedOn w:val="Normale"/>
    <w:next w:val="Normale"/>
    <w:qFormat/>
    <w:pPr>
      <w:keepNext/>
      <w:jc w:val="center"/>
      <w:outlineLvl w:val="1"/>
    </w:pPr>
    <w:rPr>
      <w:rFonts w:ascii="Times New Roman" w:eastAsia="Times New Roman" w:hAnsi="Times New Roman"/>
      <w:sz w:val="24"/>
      <w:szCs w:val="24"/>
      <w:u w:val="single"/>
    </w:rPr>
  </w:style>
  <w:style w:type="paragraph" w:styleId="Titolo3">
    <w:name w:val="heading 3"/>
    <w:basedOn w:val="Normale"/>
    <w:next w:val="Normale"/>
    <w:qFormat/>
    <w:pPr>
      <w:keepNext/>
      <w:jc w:val="both"/>
      <w:outlineLvl w:val="2"/>
    </w:pPr>
    <w:rPr>
      <w:rFonts w:ascii="Comic Sans MS" w:eastAsia="Times New Roman" w:hAnsi="Comic Sans MS"/>
      <w:b/>
      <w:bCs/>
      <w:i/>
      <w:iCs/>
      <w:color w:val="008080"/>
      <w:szCs w:val="24"/>
    </w:rPr>
  </w:style>
  <w:style w:type="paragraph" w:styleId="Titolo4">
    <w:name w:val="heading 4"/>
    <w:basedOn w:val="Normale"/>
    <w:next w:val="Normale"/>
    <w:qFormat/>
    <w:pPr>
      <w:keepNext/>
      <w:spacing w:line="360" w:lineRule="auto"/>
      <w:jc w:val="center"/>
      <w:outlineLvl w:val="3"/>
    </w:pPr>
    <w:rPr>
      <w:rFonts w:ascii="Verdana" w:eastAsia="Times New Roman" w:hAnsi="Verdana"/>
      <w:b/>
      <w:u w:val="single"/>
    </w:rPr>
  </w:style>
  <w:style w:type="paragraph" w:styleId="Titolo5">
    <w:name w:val="heading 5"/>
    <w:basedOn w:val="Normale"/>
    <w:next w:val="Normale"/>
    <w:qFormat/>
    <w:pPr>
      <w:keepNext/>
      <w:jc w:val="both"/>
      <w:outlineLvl w:val="4"/>
    </w:pPr>
    <w:rPr>
      <w:rFonts w:ascii="Verdana" w:hAnsi="Verdana"/>
      <w:b/>
      <w:bCs/>
      <w:sz w:val="20"/>
    </w:rPr>
  </w:style>
  <w:style w:type="paragraph" w:styleId="Titolo6">
    <w:name w:val="heading 6"/>
    <w:basedOn w:val="Normale"/>
    <w:next w:val="Normale"/>
    <w:qFormat/>
    <w:pPr>
      <w:keepNext/>
      <w:spacing w:before="120" w:after="120"/>
      <w:jc w:val="both"/>
      <w:outlineLvl w:val="5"/>
    </w:pPr>
    <w:rPr>
      <w:rFonts w:ascii="Times New Roman" w:eastAsia="Times New Roman" w:hAnsi="Times New Roman"/>
      <w:b/>
      <w:bCs/>
      <w:sz w:val="24"/>
    </w:rPr>
  </w:style>
  <w:style w:type="paragraph" w:styleId="Titolo7">
    <w:name w:val="heading 7"/>
    <w:basedOn w:val="Normale"/>
    <w:next w:val="Normale"/>
    <w:qFormat/>
    <w:pPr>
      <w:keepNext/>
      <w:jc w:val="both"/>
      <w:outlineLvl w:val="6"/>
    </w:pPr>
    <w:rPr>
      <w:i/>
      <w:iCs/>
      <w:sz w:val="18"/>
    </w:rPr>
  </w:style>
  <w:style w:type="paragraph" w:styleId="Titolo8">
    <w:name w:val="heading 8"/>
    <w:basedOn w:val="Normale"/>
    <w:next w:val="Normale"/>
    <w:qFormat/>
    <w:pPr>
      <w:keepNext/>
      <w:jc w:val="both"/>
      <w:outlineLvl w:val="7"/>
    </w:pPr>
    <w:rPr>
      <w:i/>
      <w:iCs/>
      <w:sz w:val="20"/>
    </w:rPr>
  </w:style>
  <w:style w:type="paragraph" w:styleId="Titolo9">
    <w:name w:val="heading 9"/>
    <w:basedOn w:val="Normale"/>
    <w:next w:val="Normale"/>
    <w:qFormat/>
    <w:pPr>
      <w:keepNext/>
      <w:outlineLvl w:val="8"/>
    </w:pPr>
    <w:rPr>
      <w:rFonts w:ascii="Verdana" w:hAnsi="Verdana"/>
      <w:i/>
      <w:iCs/>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link w:val="PidipaginaCarattere"/>
    <w:semiHidden/>
    <w:pPr>
      <w:tabs>
        <w:tab w:val="center" w:pos="4153"/>
        <w:tab w:val="right" w:pos="8306"/>
      </w:tabs>
    </w:pPr>
  </w:style>
  <w:style w:type="paragraph" w:styleId="Corpotesto">
    <w:name w:val="Body Text"/>
    <w:basedOn w:val="Normale"/>
    <w:semiHidden/>
    <w:pPr>
      <w:jc w:val="both"/>
    </w:pPr>
  </w:style>
  <w:style w:type="paragraph" w:styleId="Rientrocorpodeltesto">
    <w:name w:val="Body Text Indent"/>
    <w:basedOn w:val="Normale"/>
    <w:semiHidden/>
    <w:pPr>
      <w:ind w:firstLine="709"/>
      <w:jc w:val="both"/>
    </w:pPr>
    <w:rPr>
      <w:rFonts w:ascii="Arial" w:eastAsia="Times New Roman" w:hAnsi="Arial"/>
      <w:sz w:val="24"/>
    </w:rPr>
  </w:style>
  <w:style w:type="paragraph" w:styleId="Corpodeltesto2">
    <w:name w:val="Body Text 2"/>
    <w:basedOn w:val="Normale"/>
    <w:semiHidden/>
    <w:pPr>
      <w:jc w:val="center"/>
    </w:pPr>
    <w:rPr>
      <w:b/>
      <w:bCs/>
      <w:szCs w:val="28"/>
    </w:rPr>
  </w:style>
  <w:style w:type="character" w:styleId="Collegamentoipertestuale">
    <w:name w:val="Hyperlink"/>
    <w:semiHidden/>
    <w:rPr>
      <w:color w:val="0000FF"/>
      <w:u w:val="single"/>
    </w:rPr>
  </w:style>
  <w:style w:type="paragraph" w:styleId="Corpodeltesto3">
    <w:name w:val="Body Text 3"/>
    <w:basedOn w:val="Normale"/>
    <w:semiHidden/>
    <w:pPr>
      <w:jc w:val="center"/>
    </w:pPr>
    <w:rPr>
      <w:rFonts w:ascii="Verdana" w:hAnsi="Verdana"/>
      <w:sz w:val="16"/>
    </w:rPr>
  </w:style>
  <w:style w:type="character" w:styleId="Numeropagina">
    <w:name w:val="page number"/>
    <w:basedOn w:val="Carpredefinitoparagrafo"/>
    <w:semiHidden/>
  </w:style>
  <w:style w:type="paragraph" w:customStyle="1" w:styleId="xl25">
    <w:name w:val="xl25"/>
    <w:basedOn w:val="Normale"/>
    <w:pPr>
      <w:spacing w:before="100" w:beforeAutospacing="1" w:after="100" w:afterAutospacing="1"/>
    </w:pPr>
    <w:rPr>
      <w:rFonts w:ascii="Verdana" w:eastAsia="Arial Unicode MS" w:hAnsi="Verdana" w:cs="Arial Unicode MS"/>
      <w:sz w:val="24"/>
      <w:szCs w:val="24"/>
    </w:rPr>
  </w:style>
  <w:style w:type="paragraph" w:customStyle="1" w:styleId="RIENTRO">
    <w:name w:val="RIENTRO"/>
    <w:basedOn w:val="Normale"/>
    <w:pPr>
      <w:spacing w:before="120" w:after="120"/>
      <w:ind w:left="284" w:hanging="284"/>
      <w:jc w:val="both"/>
    </w:pPr>
    <w:rPr>
      <w:rFonts w:ascii="Times New Roman" w:eastAsia="Times New Roman" w:hAnsi="Times New Roman"/>
      <w:sz w:val="24"/>
    </w:rPr>
  </w:style>
  <w:style w:type="paragraph" w:styleId="Testonotaapidipagina">
    <w:name w:val="footnote text"/>
    <w:basedOn w:val="Normale"/>
    <w:link w:val="TestonotaapidipaginaCarattere"/>
    <w:uiPriority w:val="99"/>
    <w:semiHidden/>
    <w:pPr>
      <w:ind w:left="284" w:hanging="284"/>
      <w:jc w:val="both"/>
    </w:pPr>
    <w:rPr>
      <w:rFonts w:ascii="Times New Roman" w:eastAsia="Times New Roman" w:hAnsi="Times New Roman"/>
      <w:sz w:val="20"/>
    </w:rPr>
  </w:style>
  <w:style w:type="character" w:styleId="Rimandonotaapidipagina">
    <w:name w:val="footnote reference"/>
    <w:uiPriority w:val="99"/>
    <w:semiHidden/>
    <w:rPr>
      <w:vertAlign w:val="superscript"/>
    </w:rPr>
  </w:style>
  <w:style w:type="paragraph" w:styleId="Rientrocorpodeltesto3">
    <w:name w:val="Body Text Indent 3"/>
    <w:basedOn w:val="Normale"/>
    <w:semiHidden/>
    <w:pPr>
      <w:spacing w:line="360" w:lineRule="auto"/>
      <w:ind w:firstLine="709"/>
      <w:jc w:val="both"/>
    </w:pPr>
    <w:rPr>
      <w:rFonts w:ascii="Verdana" w:eastAsia="Times New Roman" w:hAnsi="Verdana"/>
      <w:b/>
      <w:bCs/>
      <w:i/>
      <w:iCs/>
      <w:sz w:val="20"/>
    </w:rPr>
  </w:style>
  <w:style w:type="paragraph" w:styleId="Rientrocorpodeltesto2">
    <w:name w:val="Body Text Indent 2"/>
    <w:basedOn w:val="Normale"/>
    <w:semiHidden/>
    <w:pPr>
      <w:ind w:firstLine="708"/>
      <w:jc w:val="both"/>
    </w:pPr>
    <w:rPr>
      <w:rFonts w:ascii="Verdana" w:hAnsi="Verdana"/>
      <w:sz w:val="20"/>
    </w:rPr>
  </w:style>
  <w:style w:type="paragraph" w:styleId="Didascalia">
    <w:name w:val="caption"/>
    <w:basedOn w:val="Normale"/>
    <w:next w:val="Normale"/>
    <w:qFormat/>
    <w:rPr>
      <w:rFonts w:ascii="Verdana" w:hAnsi="Verdana"/>
      <w:i/>
      <w:iCs/>
      <w:sz w:val="18"/>
    </w:rPr>
  </w:style>
  <w:style w:type="paragraph" w:customStyle="1" w:styleId="xl27">
    <w:name w:val="xl27"/>
    <w:basedOn w:val="Normale"/>
    <w:pPr>
      <w:spacing w:before="100" w:beforeAutospacing="1" w:after="100" w:afterAutospacing="1"/>
      <w:jc w:val="center"/>
    </w:pPr>
    <w:rPr>
      <w:rFonts w:ascii="Kartika" w:eastAsia="Arial Unicode MS" w:hAnsi="Kartika" w:cs="Arial Unicode MS"/>
      <w:sz w:val="24"/>
      <w:szCs w:val="24"/>
    </w:rPr>
  </w:style>
  <w:style w:type="paragraph" w:customStyle="1" w:styleId="xl26">
    <w:name w:val="xl26"/>
    <w:basedOn w:val="Normale"/>
    <w:pPr>
      <w:spacing w:before="100" w:beforeAutospacing="1" w:after="100" w:afterAutospacing="1"/>
      <w:jc w:val="center"/>
    </w:pPr>
    <w:rPr>
      <w:rFonts w:ascii="Verdana" w:eastAsia="Arial Unicode MS" w:hAnsi="Verdana" w:cs="Arial Unicode MS"/>
      <w:b/>
      <w:bCs/>
      <w:sz w:val="16"/>
      <w:szCs w:val="16"/>
    </w:rPr>
  </w:style>
  <w:style w:type="paragraph" w:customStyle="1" w:styleId="xl24">
    <w:name w:val="xl24"/>
    <w:basedOn w:val="Normale"/>
    <w:pPr>
      <w:spacing w:before="100" w:beforeAutospacing="1" w:after="100" w:afterAutospacing="1"/>
    </w:pPr>
    <w:rPr>
      <w:rFonts w:ascii="Verdana" w:eastAsia="Arial Unicode MS" w:hAnsi="Verdana" w:cs="Arial Unicode MS"/>
      <w:b/>
      <w:bCs/>
      <w:sz w:val="16"/>
      <w:szCs w:val="16"/>
    </w:rPr>
  </w:style>
  <w:style w:type="character" w:styleId="Collegamentovisitato">
    <w:name w:val="FollowedHyperlink"/>
    <w:semiHidden/>
    <w:rPr>
      <w:color w:val="800080"/>
      <w:u w:val="single"/>
    </w:rPr>
  </w:style>
  <w:style w:type="paragraph" w:customStyle="1" w:styleId="xl28">
    <w:name w:val="xl28"/>
    <w:basedOn w:val="Normale"/>
    <w:pPr>
      <w:spacing w:before="100" w:beforeAutospacing="1" w:after="100" w:afterAutospacing="1"/>
      <w:jc w:val="center"/>
    </w:pPr>
    <w:rPr>
      <w:rFonts w:ascii="Verdana" w:eastAsia="Arial Unicode MS" w:hAnsi="Verdana" w:cs="Arial Unicode MS"/>
      <w:b/>
      <w:bCs/>
      <w:sz w:val="16"/>
      <w:szCs w:val="16"/>
    </w:rPr>
  </w:style>
  <w:style w:type="paragraph" w:customStyle="1" w:styleId="xl29">
    <w:name w:val="xl29"/>
    <w:basedOn w:val="Normale"/>
    <w:pPr>
      <w:spacing w:before="100" w:beforeAutospacing="1" w:after="100" w:afterAutospacing="1"/>
      <w:jc w:val="center"/>
    </w:pPr>
    <w:rPr>
      <w:rFonts w:ascii="Verdana" w:eastAsia="Arial Unicode MS" w:hAnsi="Verdana" w:cs="Arial Unicode MS"/>
      <w:sz w:val="16"/>
      <w:szCs w:val="16"/>
    </w:rPr>
  </w:style>
  <w:style w:type="paragraph" w:customStyle="1" w:styleId="xl30">
    <w:name w:val="xl30"/>
    <w:basedOn w:val="Normale"/>
    <w:pPr>
      <w:pBdr>
        <w:top w:val="single" w:sz="4" w:space="0" w:color="auto"/>
      </w:pBdr>
      <w:spacing w:before="100" w:beforeAutospacing="1" w:after="100" w:afterAutospacing="1"/>
      <w:jc w:val="center"/>
    </w:pPr>
    <w:rPr>
      <w:rFonts w:ascii="Verdana" w:eastAsia="Arial Unicode MS" w:hAnsi="Verdana" w:cs="Arial Unicode MS"/>
      <w:b/>
      <w:bCs/>
      <w:sz w:val="16"/>
      <w:szCs w:val="16"/>
    </w:rPr>
  </w:style>
  <w:style w:type="paragraph" w:customStyle="1" w:styleId="xl31">
    <w:name w:val="xl31"/>
    <w:basedOn w:val="Normale"/>
    <w:pPr>
      <w:pBdr>
        <w:bottom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xl32">
    <w:name w:val="xl32"/>
    <w:basedOn w:val="Normale"/>
    <w:pPr>
      <w:pBdr>
        <w:bottom w:val="single" w:sz="4" w:space="0" w:color="auto"/>
      </w:pBdr>
      <w:spacing w:before="100" w:beforeAutospacing="1" w:after="100" w:afterAutospacing="1"/>
      <w:jc w:val="center"/>
    </w:pPr>
    <w:rPr>
      <w:rFonts w:ascii="Verdana" w:eastAsia="Arial Unicode MS" w:hAnsi="Verdana" w:cs="Arial Unicode MS"/>
      <w:sz w:val="16"/>
      <w:szCs w:val="16"/>
    </w:rPr>
  </w:style>
  <w:style w:type="paragraph" w:customStyle="1" w:styleId="xl33">
    <w:name w:val="xl33"/>
    <w:basedOn w:val="Normale"/>
    <w:pPr>
      <w:pBdr>
        <w:bottom w:val="single" w:sz="4" w:space="0" w:color="auto"/>
      </w:pBdr>
      <w:spacing w:before="100" w:beforeAutospacing="1" w:after="100" w:afterAutospacing="1"/>
      <w:jc w:val="center"/>
    </w:pPr>
    <w:rPr>
      <w:rFonts w:ascii="Verdana" w:eastAsia="Arial Unicode MS" w:hAnsi="Verdana" w:cs="Arial Unicode MS"/>
      <w:b/>
      <w:bCs/>
      <w:sz w:val="16"/>
      <w:szCs w:val="16"/>
    </w:rPr>
  </w:style>
  <w:style w:type="paragraph" w:customStyle="1" w:styleId="xl34">
    <w:name w:val="xl34"/>
    <w:basedOn w:val="Normale"/>
    <w:pPr>
      <w:pBdr>
        <w:bottom w:val="single" w:sz="4" w:space="0" w:color="auto"/>
      </w:pBdr>
      <w:spacing w:before="100" w:beforeAutospacing="1" w:after="100" w:afterAutospacing="1"/>
      <w:jc w:val="center"/>
    </w:pPr>
    <w:rPr>
      <w:rFonts w:ascii="Verdana" w:eastAsia="Arial Unicode MS" w:hAnsi="Verdana" w:cs="Arial Unicode MS"/>
      <w:sz w:val="16"/>
      <w:szCs w:val="16"/>
    </w:rPr>
  </w:style>
  <w:style w:type="paragraph" w:customStyle="1" w:styleId="xl35">
    <w:name w:val="xl35"/>
    <w:basedOn w:val="Normale"/>
    <w:pPr>
      <w:pBdr>
        <w:top w:val="single" w:sz="4" w:space="0" w:color="auto"/>
      </w:pBdr>
      <w:spacing w:before="100" w:beforeAutospacing="1" w:after="100" w:afterAutospacing="1"/>
      <w:jc w:val="center"/>
    </w:pPr>
    <w:rPr>
      <w:rFonts w:ascii="Verdana" w:eastAsia="Arial Unicode MS" w:hAnsi="Verdana" w:cs="Arial Unicode MS"/>
      <w:sz w:val="16"/>
      <w:szCs w:val="16"/>
    </w:rPr>
  </w:style>
  <w:style w:type="paragraph" w:styleId="Testodelblocco">
    <w:name w:val="Block Text"/>
    <w:basedOn w:val="Normale"/>
    <w:semiHidden/>
    <w:pPr>
      <w:autoSpaceDE w:val="0"/>
      <w:autoSpaceDN w:val="0"/>
      <w:adjustRightInd w:val="0"/>
      <w:ind w:left="567" w:right="565"/>
      <w:jc w:val="both"/>
    </w:pPr>
    <w:rPr>
      <w:rFonts w:ascii="Verdana" w:hAnsi="Verdana"/>
      <w:sz w:val="20"/>
    </w:rPr>
  </w:style>
  <w:style w:type="paragraph" w:styleId="Testofumetto">
    <w:name w:val="Balloon Text"/>
    <w:basedOn w:val="Normale"/>
    <w:semiHidden/>
    <w:unhideWhenUsed/>
    <w:rPr>
      <w:rFonts w:ascii="Tahoma" w:hAnsi="Tahoma"/>
      <w:sz w:val="16"/>
      <w:szCs w:val="16"/>
      <w:lang w:val="x-none" w:eastAsia="x-none"/>
    </w:rPr>
  </w:style>
  <w:style w:type="character" w:customStyle="1" w:styleId="TestofumettoCarattere">
    <w:name w:val="Testo fumetto Carattere"/>
    <w:semiHidden/>
    <w:rPr>
      <w:rFonts w:ascii="Tahoma" w:hAnsi="Tahoma" w:cs="Tahoma"/>
      <w:sz w:val="16"/>
      <w:szCs w:val="16"/>
    </w:rPr>
  </w:style>
  <w:style w:type="character" w:customStyle="1" w:styleId="PidipaginaCarattere">
    <w:name w:val="Piè di pagina Carattere"/>
    <w:link w:val="Pidipagina"/>
    <w:semiHidden/>
    <w:rsid w:val="00F20A55"/>
    <w:rPr>
      <w:rFonts w:ascii="Geneva" w:hAnsi="Geneva"/>
      <w:sz w:val="28"/>
    </w:rPr>
  </w:style>
  <w:style w:type="character" w:customStyle="1" w:styleId="TestonotaapidipaginaCarattere">
    <w:name w:val="Testo nota a piè di pagina Carattere"/>
    <w:basedOn w:val="Carpredefinitoparagrafo"/>
    <w:link w:val="Testonotaapidipagina"/>
    <w:uiPriority w:val="99"/>
    <w:semiHidden/>
    <w:rsid w:val="009A2652"/>
    <w:rPr>
      <w:rFonts w:ascii="Times New Roman" w:eastAsia="Times New Roman" w:hAnsi="Times New Roman"/>
    </w:rPr>
  </w:style>
  <w:style w:type="paragraph" w:customStyle="1" w:styleId="Paragrafoelenco1">
    <w:name w:val="Paragrafo elenco1"/>
    <w:basedOn w:val="Normale"/>
    <w:rsid w:val="009A2652"/>
    <w:pPr>
      <w:spacing w:after="200" w:line="276" w:lineRule="auto"/>
      <w:ind w:left="720"/>
      <w:contextualSpacing/>
    </w:pPr>
    <w:rPr>
      <w:rFonts w:ascii="Calibri" w:eastAsia="Times New Roman" w:hAnsi="Calibri"/>
      <w:sz w:val="22"/>
      <w:szCs w:val="22"/>
      <w:lang w:eastAsia="en-US"/>
    </w:rPr>
  </w:style>
  <w:style w:type="paragraph" w:styleId="Paragrafoelenco">
    <w:name w:val="List Paragraph"/>
    <w:basedOn w:val="Normale"/>
    <w:uiPriority w:val="34"/>
    <w:qFormat/>
    <w:rsid w:val="000567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62739">
      <w:bodyDiv w:val="1"/>
      <w:marLeft w:val="0"/>
      <w:marRight w:val="0"/>
      <w:marTop w:val="0"/>
      <w:marBottom w:val="0"/>
      <w:divBdr>
        <w:top w:val="none" w:sz="0" w:space="0" w:color="auto"/>
        <w:left w:val="none" w:sz="0" w:space="0" w:color="auto"/>
        <w:bottom w:val="none" w:sz="0" w:space="0" w:color="auto"/>
        <w:right w:val="none" w:sz="0" w:space="0" w:color="auto"/>
      </w:divBdr>
    </w:div>
    <w:div w:id="12404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'Figura 1'!$E$1</c:f>
              <c:strCache>
                <c:ptCount val="1"/>
                <c:pt idx="0">
                  <c:v>MIC-DISOCC.</c:v>
                </c:pt>
              </c:strCache>
            </c:strRef>
          </c:tx>
          <c:cat>
            <c:strRef>
              <c:f>'Figura 1'!$C$2:$C$86</c:f>
              <c:strCache>
                <c:ptCount val="85"/>
                <c:pt idx="0">
                  <c:v>2007-1</c:v>
                </c:pt>
                <c:pt idx="1">
                  <c:v>2007-2</c:v>
                </c:pt>
                <c:pt idx="2">
                  <c:v>2007-3</c:v>
                </c:pt>
                <c:pt idx="3">
                  <c:v>2007-4</c:v>
                </c:pt>
                <c:pt idx="4">
                  <c:v>2007-5</c:v>
                </c:pt>
                <c:pt idx="5">
                  <c:v>2007-6</c:v>
                </c:pt>
                <c:pt idx="6">
                  <c:v>2007-7</c:v>
                </c:pt>
                <c:pt idx="7">
                  <c:v>2007-8</c:v>
                </c:pt>
                <c:pt idx="8">
                  <c:v>2007-9</c:v>
                </c:pt>
                <c:pt idx="9">
                  <c:v>2007-10</c:v>
                </c:pt>
                <c:pt idx="10">
                  <c:v>2007-11</c:v>
                </c:pt>
                <c:pt idx="11">
                  <c:v>2007-12</c:v>
                </c:pt>
                <c:pt idx="12">
                  <c:v>2008-1</c:v>
                </c:pt>
                <c:pt idx="13">
                  <c:v>2008-2</c:v>
                </c:pt>
                <c:pt idx="14">
                  <c:v>2008-3</c:v>
                </c:pt>
                <c:pt idx="15">
                  <c:v>2008-4</c:v>
                </c:pt>
                <c:pt idx="16">
                  <c:v>2008-5</c:v>
                </c:pt>
                <c:pt idx="17">
                  <c:v>2008-6</c:v>
                </c:pt>
                <c:pt idx="18">
                  <c:v>2008-7</c:v>
                </c:pt>
                <c:pt idx="19">
                  <c:v>2008-8</c:v>
                </c:pt>
                <c:pt idx="20">
                  <c:v>2008-9</c:v>
                </c:pt>
                <c:pt idx="21">
                  <c:v>2008-10</c:v>
                </c:pt>
                <c:pt idx="22">
                  <c:v>2008-11</c:v>
                </c:pt>
                <c:pt idx="23">
                  <c:v>2008-12</c:v>
                </c:pt>
                <c:pt idx="24">
                  <c:v>2009-1</c:v>
                </c:pt>
                <c:pt idx="25">
                  <c:v>2009-2</c:v>
                </c:pt>
                <c:pt idx="26">
                  <c:v>2009-3</c:v>
                </c:pt>
                <c:pt idx="27">
                  <c:v>2009-4</c:v>
                </c:pt>
                <c:pt idx="28">
                  <c:v>2009-5</c:v>
                </c:pt>
                <c:pt idx="29">
                  <c:v>2009-6</c:v>
                </c:pt>
                <c:pt idx="30">
                  <c:v>2009-7</c:v>
                </c:pt>
                <c:pt idx="31">
                  <c:v>2009-8</c:v>
                </c:pt>
                <c:pt idx="32">
                  <c:v>2009-9</c:v>
                </c:pt>
                <c:pt idx="33">
                  <c:v>2009-10</c:v>
                </c:pt>
                <c:pt idx="34">
                  <c:v>2009-11</c:v>
                </c:pt>
                <c:pt idx="35">
                  <c:v>2009-12</c:v>
                </c:pt>
                <c:pt idx="36">
                  <c:v>2010-1</c:v>
                </c:pt>
                <c:pt idx="37">
                  <c:v>2010-2</c:v>
                </c:pt>
                <c:pt idx="38">
                  <c:v>2010-3</c:v>
                </c:pt>
                <c:pt idx="39">
                  <c:v>2010-4</c:v>
                </c:pt>
                <c:pt idx="40">
                  <c:v>2010-5</c:v>
                </c:pt>
                <c:pt idx="41">
                  <c:v>2010-6</c:v>
                </c:pt>
                <c:pt idx="42">
                  <c:v>2010-7</c:v>
                </c:pt>
                <c:pt idx="43">
                  <c:v>2010-8</c:v>
                </c:pt>
                <c:pt idx="44">
                  <c:v>2010-9</c:v>
                </c:pt>
                <c:pt idx="45">
                  <c:v>2010-10</c:v>
                </c:pt>
                <c:pt idx="46">
                  <c:v>2010-11</c:v>
                </c:pt>
                <c:pt idx="47">
                  <c:v>2010-12</c:v>
                </c:pt>
                <c:pt idx="48">
                  <c:v>2011-1</c:v>
                </c:pt>
                <c:pt idx="49">
                  <c:v>2011-2</c:v>
                </c:pt>
                <c:pt idx="50">
                  <c:v>2011-3</c:v>
                </c:pt>
                <c:pt idx="51">
                  <c:v>2011-4</c:v>
                </c:pt>
                <c:pt idx="52">
                  <c:v>2011-5</c:v>
                </c:pt>
                <c:pt idx="53">
                  <c:v>2011-6</c:v>
                </c:pt>
                <c:pt idx="54">
                  <c:v>2011-7</c:v>
                </c:pt>
                <c:pt idx="55">
                  <c:v>2011-8</c:v>
                </c:pt>
                <c:pt idx="56">
                  <c:v>2011-9</c:v>
                </c:pt>
                <c:pt idx="57">
                  <c:v>2011-10</c:v>
                </c:pt>
                <c:pt idx="58">
                  <c:v>2011-11</c:v>
                </c:pt>
                <c:pt idx="59">
                  <c:v>2011-12</c:v>
                </c:pt>
                <c:pt idx="60">
                  <c:v>2012-1</c:v>
                </c:pt>
                <c:pt idx="61">
                  <c:v>2012-2</c:v>
                </c:pt>
                <c:pt idx="62">
                  <c:v>2012-3</c:v>
                </c:pt>
                <c:pt idx="63">
                  <c:v>2012-4</c:v>
                </c:pt>
                <c:pt idx="64">
                  <c:v>2012-5</c:v>
                </c:pt>
                <c:pt idx="65">
                  <c:v>2012-6</c:v>
                </c:pt>
                <c:pt idx="66">
                  <c:v>2012-7</c:v>
                </c:pt>
                <c:pt idx="67">
                  <c:v>2012-8</c:v>
                </c:pt>
                <c:pt idx="68">
                  <c:v>2012-9</c:v>
                </c:pt>
                <c:pt idx="69">
                  <c:v>2012-10</c:v>
                </c:pt>
                <c:pt idx="70">
                  <c:v>2012-11</c:v>
                </c:pt>
                <c:pt idx="71">
                  <c:v>2012-12</c:v>
                </c:pt>
                <c:pt idx="72">
                  <c:v>2013-1</c:v>
                </c:pt>
                <c:pt idx="73">
                  <c:v>2013-2</c:v>
                </c:pt>
                <c:pt idx="74">
                  <c:v>2013-3</c:v>
                </c:pt>
                <c:pt idx="75">
                  <c:v>2013-4</c:v>
                </c:pt>
                <c:pt idx="76">
                  <c:v>2013-5</c:v>
                </c:pt>
                <c:pt idx="77">
                  <c:v>2013-6</c:v>
                </c:pt>
                <c:pt idx="78">
                  <c:v>2013-7</c:v>
                </c:pt>
                <c:pt idx="79">
                  <c:v>2013-8</c:v>
                </c:pt>
                <c:pt idx="80">
                  <c:v>2013-9</c:v>
                </c:pt>
                <c:pt idx="81">
                  <c:v>2013-10</c:v>
                </c:pt>
                <c:pt idx="82">
                  <c:v>2013-11</c:v>
                </c:pt>
                <c:pt idx="83">
                  <c:v>2013-12</c:v>
                </c:pt>
                <c:pt idx="84">
                  <c:v>2014-1</c:v>
                </c:pt>
              </c:strCache>
            </c:strRef>
          </c:cat>
          <c:val>
            <c:numRef>
              <c:f>'Figura 1'!$E$2:$E$86</c:f>
              <c:numCache>
                <c:formatCode>0.00</c:formatCode>
                <c:ptCount val="85"/>
                <c:pt idx="0">
                  <c:v>9.8687058487786192</c:v>
                </c:pt>
                <c:pt idx="1">
                  <c:v>9.605498116072825</c:v>
                </c:pt>
                <c:pt idx="2">
                  <c:v>9.6184233432660751</c:v>
                </c:pt>
                <c:pt idx="3">
                  <c:v>9.5059999998659244</c:v>
                </c:pt>
                <c:pt idx="4">
                  <c:v>9.8250073155448181</c:v>
                </c:pt>
                <c:pt idx="5">
                  <c:v>9.7096174047045967</c:v>
                </c:pt>
                <c:pt idx="6">
                  <c:v>10.180482092575131</c:v>
                </c:pt>
                <c:pt idx="7">
                  <c:v>9.951538886587171</c:v>
                </c:pt>
                <c:pt idx="8">
                  <c:v>10.028051344863842</c:v>
                </c:pt>
                <c:pt idx="9">
                  <c:v>10.109490900751309</c:v>
                </c:pt>
                <c:pt idx="10">
                  <c:v>10.009949788549029</c:v>
                </c:pt>
                <c:pt idx="11">
                  <c:v>10.497292117828414</c:v>
                </c:pt>
                <c:pt idx="12">
                  <c:v>10.409331193903112</c:v>
                </c:pt>
                <c:pt idx="13">
                  <c:v>10.552632338190175</c:v>
                </c:pt>
                <c:pt idx="14">
                  <c:v>10.425267376673268</c:v>
                </c:pt>
                <c:pt idx="15">
                  <c:v>11.001785546202939</c:v>
                </c:pt>
                <c:pt idx="16">
                  <c:v>10.961292560959256</c:v>
                </c:pt>
                <c:pt idx="17">
                  <c:v>11.332025308965418</c:v>
                </c:pt>
                <c:pt idx="18">
                  <c:v>11.026472104154067</c:v>
                </c:pt>
                <c:pt idx="19">
                  <c:v>11.316810101777632</c:v>
                </c:pt>
                <c:pt idx="20">
                  <c:v>11.123881466463681</c:v>
                </c:pt>
                <c:pt idx="21">
                  <c:v>11.193983212218251</c:v>
                </c:pt>
                <c:pt idx="22">
                  <c:v>11.477928195173707</c:v>
                </c:pt>
                <c:pt idx="23">
                  <c:v>11.389432651915795</c:v>
                </c:pt>
                <c:pt idx="24">
                  <c:v>11.891384300749213</c:v>
                </c:pt>
                <c:pt idx="25">
                  <c:v>12.082143315915525</c:v>
                </c:pt>
                <c:pt idx="26">
                  <c:v>12.572182655992259</c:v>
                </c:pt>
                <c:pt idx="27">
                  <c:v>12.94565950920158</c:v>
                </c:pt>
                <c:pt idx="28">
                  <c:v>13.137668221567589</c:v>
                </c:pt>
                <c:pt idx="29">
                  <c:v>13.604730363064927</c:v>
                </c:pt>
                <c:pt idx="30">
                  <c:v>13.95019399667637</c:v>
                </c:pt>
                <c:pt idx="31">
                  <c:v>14.138478396134369</c:v>
                </c:pt>
                <c:pt idx="32">
                  <c:v>14.47950969161481</c:v>
                </c:pt>
                <c:pt idx="33">
                  <c:v>14.350413877242536</c:v>
                </c:pt>
                <c:pt idx="34">
                  <c:v>14.46642952681594</c:v>
                </c:pt>
                <c:pt idx="35">
                  <c:v>14.685668731392887</c:v>
                </c:pt>
                <c:pt idx="36">
                  <c:v>14.804386786363823</c:v>
                </c:pt>
                <c:pt idx="37">
                  <c:v>14.918834680305462</c:v>
                </c:pt>
                <c:pt idx="38">
                  <c:v>14.750065698572378</c:v>
                </c:pt>
                <c:pt idx="39">
                  <c:v>15.020121208259221</c:v>
                </c:pt>
                <c:pt idx="40">
                  <c:v>14.875828973236763</c:v>
                </c:pt>
                <c:pt idx="41">
                  <c:v>14.567930921745161</c:v>
                </c:pt>
                <c:pt idx="42">
                  <c:v>14.613006713287819</c:v>
                </c:pt>
                <c:pt idx="43">
                  <c:v>14.566184241622121</c:v>
                </c:pt>
                <c:pt idx="44">
                  <c:v>14.443569031282683</c:v>
                </c:pt>
                <c:pt idx="45">
                  <c:v>14.740482700149986</c:v>
                </c:pt>
                <c:pt idx="46">
                  <c:v>14.36134096019455</c:v>
                </c:pt>
                <c:pt idx="47">
                  <c:v>14.2891755171675</c:v>
                </c:pt>
                <c:pt idx="48">
                  <c:v>14.07929100166367</c:v>
                </c:pt>
                <c:pt idx="49">
                  <c:v>13.909233637883204</c:v>
                </c:pt>
                <c:pt idx="50">
                  <c:v>13.950913557743096</c:v>
                </c:pt>
                <c:pt idx="51">
                  <c:v>13.759762898300503</c:v>
                </c:pt>
                <c:pt idx="52">
                  <c:v>14.170961631594142</c:v>
                </c:pt>
                <c:pt idx="53">
                  <c:v>14.13151890770229</c:v>
                </c:pt>
                <c:pt idx="54">
                  <c:v>14.5364404739534</c:v>
                </c:pt>
                <c:pt idx="55">
                  <c:v>14.754470749089917</c:v>
                </c:pt>
                <c:pt idx="56">
                  <c:v>15.268976990717468</c:v>
                </c:pt>
                <c:pt idx="57">
                  <c:v>15.236448259984119</c:v>
                </c:pt>
                <c:pt idx="58">
                  <c:v>15.898290361000905</c:v>
                </c:pt>
                <c:pt idx="59">
                  <c:v>16.099353827054323</c:v>
                </c:pt>
                <c:pt idx="60">
                  <c:v>16.169766785579625</c:v>
                </c:pt>
                <c:pt idx="61">
                  <c:v>16.733794140742653</c:v>
                </c:pt>
                <c:pt idx="62">
                  <c:v>17.177933821611141</c:v>
                </c:pt>
                <c:pt idx="63">
                  <c:v>17.544179819511811</c:v>
                </c:pt>
                <c:pt idx="64">
                  <c:v>17.338242179072459</c:v>
                </c:pt>
                <c:pt idx="65">
                  <c:v>17.794911673314679</c:v>
                </c:pt>
                <c:pt idx="66">
                  <c:v>17.812143541615757</c:v>
                </c:pt>
                <c:pt idx="67">
                  <c:v>17.711218717698589</c:v>
                </c:pt>
                <c:pt idx="68">
                  <c:v>17.95894987482059</c:v>
                </c:pt>
                <c:pt idx="69">
                  <c:v>18.488457874742739</c:v>
                </c:pt>
                <c:pt idx="70">
                  <c:v>18.419086085589928</c:v>
                </c:pt>
                <c:pt idx="71">
                  <c:v>18.715982650942564</c:v>
                </c:pt>
                <c:pt idx="72">
                  <c:v>19.204112147488161</c:v>
                </c:pt>
                <c:pt idx="73">
                  <c:v>19.286571137113171</c:v>
                </c:pt>
                <c:pt idx="74">
                  <c:v>19.382601944667343</c:v>
                </c:pt>
                <c:pt idx="75">
                  <c:v>19.586094979726486</c:v>
                </c:pt>
                <c:pt idx="76">
                  <c:v>19.852760530948292</c:v>
                </c:pt>
                <c:pt idx="77">
                  <c:v>19.88198706686822</c:v>
                </c:pt>
                <c:pt idx="78">
                  <c:v>19.994630342071357</c:v>
                </c:pt>
                <c:pt idx="79">
                  <c:v>20.402261134028485</c:v>
                </c:pt>
                <c:pt idx="80">
                  <c:v>20.649699886053675</c:v>
                </c:pt>
                <c:pt idx="81">
                  <c:v>20.746265351013751</c:v>
                </c:pt>
                <c:pt idx="82">
                  <c:v>21.222741420856252</c:v>
                </c:pt>
                <c:pt idx="83">
                  <c:v>20.93205215706708</c:v>
                </c:pt>
                <c:pt idx="84">
                  <c:v>21.195897561184605</c:v>
                </c:pt>
              </c:numCache>
            </c:numRef>
          </c:val>
        </c:ser>
        <c:ser>
          <c:idx val="1"/>
          <c:order val="1"/>
          <c:tx>
            <c:strRef>
              <c:f>'Figura 1'!$F$1</c:f>
              <c:strCache>
                <c:ptCount val="1"/>
                <c:pt idx="0">
                  <c:v>MIC-INFL. AF</c:v>
                </c:pt>
              </c:strCache>
            </c:strRef>
          </c:tx>
          <c:cat>
            <c:strRef>
              <c:f>'Figura 1'!$C$2:$C$86</c:f>
              <c:strCache>
                <c:ptCount val="85"/>
                <c:pt idx="0">
                  <c:v>2007-1</c:v>
                </c:pt>
                <c:pt idx="1">
                  <c:v>2007-2</c:v>
                </c:pt>
                <c:pt idx="2">
                  <c:v>2007-3</c:v>
                </c:pt>
                <c:pt idx="3">
                  <c:v>2007-4</c:v>
                </c:pt>
                <c:pt idx="4">
                  <c:v>2007-5</c:v>
                </c:pt>
                <c:pt idx="5">
                  <c:v>2007-6</c:v>
                </c:pt>
                <c:pt idx="6">
                  <c:v>2007-7</c:v>
                </c:pt>
                <c:pt idx="7">
                  <c:v>2007-8</c:v>
                </c:pt>
                <c:pt idx="8">
                  <c:v>2007-9</c:v>
                </c:pt>
                <c:pt idx="9">
                  <c:v>2007-10</c:v>
                </c:pt>
                <c:pt idx="10">
                  <c:v>2007-11</c:v>
                </c:pt>
                <c:pt idx="11">
                  <c:v>2007-12</c:v>
                </c:pt>
                <c:pt idx="12">
                  <c:v>2008-1</c:v>
                </c:pt>
                <c:pt idx="13">
                  <c:v>2008-2</c:v>
                </c:pt>
                <c:pt idx="14">
                  <c:v>2008-3</c:v>
                </c:pt>
                <c:pt idx="15">
                  <c:v>2008-4</c:v>
                </c:pt>
                <c:pt idx="16">
                  <c:v>2008-5</c:v>
                </c:pt>
                <c:pt idx="17">
                  <c:v>2008-6</c:v>
                </c:pt>
                <c:pt idx="18">
                  <c:v>2008-7</c:v>
                </c:pt>
                <c:pt idx="19">
                  <c:v>2008-8</c:v>
                </c:pt>
                <c:pt idx="20">
                  <c:v>2008-9</c:v>
                </c:pt>
                <c:pt idx="21">
                  <c:v>2008-10</c:v>
                </c:pt>
                <c:pt idx="22">
                  <c:v>2008-11</c:v>
                </c:pt>
                <c:pt idx="23">
                  <c:v>2008-12</c:v>
                </c:pt>
                <c:pt idx="24">
                  <c:v>2009-1</c:v>
                </c:pt>
                <c:pt idx="25">
                  <c:v>2009-2</c:v>
                </c:pt>
                <c:pt idx="26">
                  <c:v>2009-3</c:v>
                </c:pt>
                <c:pt idx="27">
                  <c:v>2009-4</c:v>
                </c:pt>
                <c:pt idx="28">
                  <c:v>2009-5</c:v>
                </c:pt>
                <c:pt idx="29">
                  <c:v>2009-6</c:v>
                </c:pt>
                <c:pt idx="30">
                  <c:v>2009-7</c:v>
                </c:pt>
                <c:pt idx="31">
                  <c:v>2009-8</c:v>
                </c:pt>
                <c:pt idx="32">
                  <c:v>2009-9</c:v>
                </c:pt>
                <c:pt idx="33">
                  <c:v>2009-10</c:v>
                </c:pt>
                <c:pt idx="34">
                  <c:v>2009-11</c:v>
                </c:pt>
                <c:pt idx="35">
                  <c:v>2009-12</c:v>
                </c:pt>
                <c:pt idx="36">
                  <c:v>2010-1</c:v>
                </c:pt>
                <c:pt idx="37">
                  <c:v>2010-2</c:v>
                </c:pt>
                <c:pt idx="38">
                  <c:v>2010-3</c:v>
                </c:pt>
                <c:pt idx="39">
                  <c:v>2010-4</c:v>
                </c:pt>
                <c:pt idx="40">
                  <c:v>2010-5</c:v>
                </c:pt>
                <c:pt idx="41">
                  <c:v>2010-6</c:v>
                </c:pt>
                <c:pt idx="42">
                  <c:v>2010-7</c:v>
                </c:pt>
                <c:pt idx="43">
                  <c:v>2010-8</c:v>
                </c:pt>
                <c:pt idx="44">
                  <c:v>2010-9</c:v>
                </c:pt>
                <c:pt idx="45">
                  <c:v>2010-10</c:v>
                </c:pt>
                <c:pt idx="46">
                  <c:v>2010-11</c:v>
                </c:pt>
                <c:pt idx="47">
                  <c:v>2010-12</c:v>
                </c:pt>
                <c:pt idx="48">
                  <c:v>2011-1</c:v>
                </c:pt>
                <c:pt idx="49">
                  <c:v>2011-2</c:v>
                </c:pt>
                <c:pt idx="50">
                  <c:v>2011-3</c:v>
                </c:pt>
                <c:pt idx="51">
                  <c:v>2011-4</c:v>
                </c:pt>
                <c:pt idx="52">
                  <c:v>2011-5</c:v>
                </c:pt>
                <c:pt idx="53">
                  <c:v>2011-6</c:v>
                </c:pt>
                <c:pt idx="54">
                  <c:v>2011-7</c:v>
                </c:pt>
                <c:pt idx="55">
                  <c:v>2011-8</c:v>
                </c:pt>
                <c:pt idx="56">
                  <c:v>2011-9</c:v>
                </c:pt>
                <c:pt idx="57">
                  <c:v>2011-10</c:v>
                </c:pt>
                <c:pt idx="58">
                  <c:v>2011-11</c:v>
                </c:pt>
                <c:pt idx="59">
                  <c:v>2011-12</c:v>
                </c:pt>
                <c:pt idx="60">
                  <c:v>2012-1</c:v>
                </c:pt>
                <c:pt idx="61">
                  <c:v>2012-2</c:v>
                </c:pt>
                <c:pt idx="62">
                  <c:v>2012-3</c:v>
                </c:pt>
                <c:pt idx="63">
                  <c:v>2012-4</c:v>
                </c:pt>
                <c:pt idx="64">
                  <c:v>2012-5</c:v>
                </c:pt>
                <c:pt idx="65">
                  <c:v>2012-6</c:v>
                </c:pt>
                <c:pt idx="66">
                  <c:v>2012-7</c:v>
                </c:pt>
                <c:pt idx="67">
                  <c:v>2012-8</c:v>
                </c:pt>
                <c:pt idx="68">
                  <c:v>2012-9</c:v>
                </c:pt>
                <c:pt idx="69">
                  <c:v>2012-10</c:v>
                </c:pt>
                <c:pt idx="70">
                  <c:v>2012-11</c:v>
                </c:pt>
                <c:pt idx="71">
                  <c:v>2012-12</c:v>
                </c:pt>
                <c:pt idx="72">
                  <c:v>2013-1</c:v>
                </c:pt>
                <c:pt idx="73">
                  <c:v>2013-2</c:v>
                </c:pt>
                <c:pt idx="74">
                  <c:v>2013-3</c:v>
                </c:pt>
                <c:pt idx="75">
                  <c:v>2013-4</c:v>
                </c:pt>
                <c:pt idx="76">
                  <c:v>2013-5</c:v>
                </c:pt>
                <c:pt idx="77">
                  <c:v>2013-6</c:v>
                </c:pt>
                <c:pt idx="78">
                  <c:v>2013-7</c:v>
                </c:pt>
                <c:pt idx="79">
                  <c:v>2013-8</c:v>
                </c:pt>
                <c:pt idx="80">
                  <c:v>2013-9</c:v>
                </c:pt>
                <c:pt idx="81">
                  <c:v>2013-10</c:v>
                </c:pt>
                <c:pt idx="82">
                  <c:v>2013-11</c:v>
                </c:pt>
                <c:pt idx="83">
                  <c:v>2013-12</c:v>
                </c:pt>
                <c:pt idx="84">
                  <c:v>2014-1</c:v>
                </c:pt>
              </c:strCache>
            </c:strRef>
          </c:cat>
          <c:val>
            <c:numRef>
              <c:f>'Figura 1'!$F$2:$F$86</c:f>
              <c:numCache>
                <c:formatCode>0.00</c:formatCode>
                <c:ptCount val="85"/>
                <c:pt idx="0">
                  <c:v>1.7647199999999998</c:v>
                </c:pt>
                <c:pt idx="1">
                  <c:v>1.6176600000000001</c:v>
                </c:pt>
                <c:pt idx="2">
                  <c:v>1.7647199999999998</c:v>
                </c:pt>
                <c:pt idx="3">
                  <c:v>1.7647199999999998</c:v>
                </c:pt>
                <c:pt idx="4">
                  <c:v>1.91178</c:v>
                </c:pt>
                <c:pt idx="5">
                  <c:v>2.0588399999999996</c:v>
                </c:pt>
                <c:pt idx="6">
                  <c:v>1.8382499999999999</c:v>
                </c:pt>
                <c:pt idx="7">
                  <c:v>1.7647199999999998</c:v>
                </c:pt>
                <c:pt idx="8">
                  <c:v>2.1323699999999999</c:v>
                </c:pt>
                <c:pt idx="9">
                  <c:v>2.57355</c:v>
                </c:pt>
                <c:pt idx="10">
                  <c:v>2.9411999999999998</c:v>
                </c:pt>
                <c:pt idx="11">
                  <c:v>3.2353200000000002</c:v>
                </c:pt>
                <c:pt idx="12">
                  <c:v>3.60297</c:v>
                </c:pt>
                <c:pt idx="13">
                  <c:v>3.6764999999999999</c:v>
                </c:pt>
                <c:pt idx="14">
                  <c:v>3.8235600000000001</c:v>
                </c:pt>
                <c:pt idx="15">
                  <c:v>3.7500299999999993</c:v>
                </c:pt>
                <c:pt idx="16">
                  <c:v>3.9706199999999998</c:v>
                </c:pt>
                <c:pt idx="17">
                  <c:v>4.2647399999999998</c:v>
                </c:pt>
                <c:pt idx="18">
                  <c:v>4.4853299999999994</c:v>
                </c:pt>
                <c:pt idx="19">
                  <c:v>4.1912099999999999</c:v>
                </c:pt>
                <c:pt idx="20">
                  <c:v>3.9706199999999998</c:v>
                </c:pt>
                <c:pt idx="21">
                  <c:v>3.3823799999999995</c:v>
                </c:pt>
                <c:pt idx="22">
                  <c:v>2.3529599999999999</c:v>
                </c:pt>
                <c:pt idx="23">
                  <c:v>1.54413</c:v>
                </c:pt>
                <c:pt idx="24">
                  <c:v>1.0294199999999998</c:v>
                </c:pt>
                <c:pt idx="25">
                  <c:v>1.17648</c:v>
                </c:pt>
                <c:pt idx="26">
                  <c:v>0.80883000000000005</c:v>
                </c:pt>
                <c:pt idx="27">
                  <c:v>0.80883000000000005</c:v>
                </c:pt>
                <c:pt idx="28">
                  <c:v>0.44117999999999996</c:v>
                </c:pt>
                <c:pt idx="29">
                  <c:v>0.14706</c:v>
                </c:pt>
                <c:pt idx="30">
                  <c:v>-0.22058999999999998</c:v>
                </c:pt>
                <c:pt idx="31">
                  <c:v>7.3529999999999998E-2</c:v>
                </c:pt>
                <c:pt idx="32">
                  <c:v>0</c:v>
                </c:pt>
                <c:pt idx="33">
                  <c:v>0.14706</c:v>
                </c:pt>
                <c:pt idx="34">
                  <c:v>0.88235999999999992</c:v>
                </c:pt>
                <c:pt idx="35">
                  <c:v>1.4705999999999999</c:v>
                </c:pt>
                <c:pt idx="36">
                  <c:v>1.8382499999999999</c:v>
                </c:pt>
                <c:pt idx="37">
                  <c:v>1.4705999999999999</c:v>
                </c:pt>
                <c:pt idx="38">
                  <c:v>1.6176600000000001</c:v>
                </c:pt>
                <c:pt idx="39">
                  <c:v>1.6176600000000001</c:v>
                </c:pt>
                <c:pt idx="40">
                  <c:v>1.54413</c:v>
                </c:pt>
                <c:pt idx="41">
                  <c:v>1.17648</c:v>
                </c:pt>
                <c:pt idx="42">
                  <c:v>1.3235399999999999</c:v>
                </c:pt>
                <c:pt idx="43">
                  <c:v>1.17648</c:v>
                </c:pt>
                <c:pt idx="44">
                  <c:v>1.3235399999999999</c:v>
                </c:pt>
                <c:pt idx="45">
                  <c:v>1.54413</c:v>
                </c:pt>
                <c:pt idx="46">
                  <c:v>1.54413</c:v>
                </c:pt>
                <c:pt idx="47">
                  <c:v>1.6176600000000001</c:v>
                </c:pt>
                <c:pt idx="48">
                  <c:v>1.9853099999999999</c:v>
                </c:pt>
                <c:pt idx="49">
                  <c:v>2.2794300000000001</c:v>
                </c:pt>
                <c:pt idx="50">
                  <c:v>2.3529599999999999</c:v>
                </c:pt>
                <c:pt idx="51">
                  <c:v>2.4264899999999998</c:v>
                </c:pt>
                <c:pt idx="52">
                  <c:v>2.57355</c:v>
                </c:pt>
                <c:pt idx="53">
                  <c:v>2.57355</c:v>
                </c:pt>
                <c:pt idx="54">
                  <c:v>2.5000199999999997</c:v>
                </c:pt>
                <c:pt idx="55">
                  <c:v>2.6470799999999999</c:v>
                </c:pt>
                <c:pt idx="56">
                  <c:v>2.7206099999999998</c:v>
                </c:pt>
                <c:pt idx="57">
                  <c:v>3.0147299999999997</c:v>
                </c:pt>
                <c:pt idx="58">
                  <c:v>3.08826</c:v>
                </c:pt>
                <c:pt idx="59">
                  <c:v>3.1617899999999999</c:v>
                </c:pt>
                <c:pt idx="60">
                  <c:v>3.08826</c:v>
                </c:pt>
                <c:pt idx="61">
                  <c:v>3.3088499999999996</c:v>
                </c:pt>
                <c:pt idx="62">
                  <c:v>3.3823799999999995</c:v>
                </c:pt>
                <c:pt idx="63">
                  <c:v>3.4559099999999998</c:v>
                </c:pt>
                <c:pt idx="64">
                  <c:v>3.08826</c:v>
                </c:pt>
                <c:pt idx="65">
                  <c:v>3.2353200000000002</c:v>
                </c:pt>
                <c:pt idx="66">
                  <c:v>2.9411999999999998</c:v>
                </c:pt>
                <c:pt idx="67">
                  <c:v>3.08826</c:v>
                </c:pt>
                <c:pt idx="68">
                  <c:v>3.4559099999999998</c:v>
                </c:pt>
                <c:pt idx="69">
                  <c:v>2.9411999999999998</c:v>
                </c:pt>
                <c:pt idx="70">
                  <c:v>2.57355</c:v>
                </c:pt>
                <c:pt idx="71">
                  <c:v>2.2794300000000001</c:v>
                </c:pt>
                <c:pt idx="72">
                  <c:v>1.9853099999999999</c:v>
                </c:pt>
                <c:pt idx="73">
                  <c:v>1.7647199999999998</c:v>
                </c:pt>
                <c:pt idx="74">
                  <c:v>1.4705999999999999</c:v>
                </c:pt>
                <c:pt idx="75">
                  <c:v>1.1029499999999999</c:v>
                </c:pt>
                <c:pt idx="76">
                  <c:v>1.1029499999999999</c:v>
                </c:pt>
                <c:pt idx="77">
                  <c:v>1.2500099999999998</c:v>
                </c:pt>
                <c:pt idx="78">
                  <c:v>1.4705999999999999</c:v>
                </c:pt>
                <c:pt idx="79">
                  <c:v>1.2500099999999998</c:v>
                </c:pt>
                <c:pt idx="80">
                  <c:v>0.73529999999999995</c:v>
                </c:pt>
                <c:pt idx="81">
                  <c:v>0.58823999999999999</c:v>
                </c:pt>
                <c:pt idx="82">
                  <c:v>0.58823999999999999</c:v>
                </c:pt>
                <c:pt idx="83">
                  <c:v>0.88235999999999992</c:v>
                </c:pt>
                <c:pt idx="84">
                  <c:v>0.88235999999999992</c:v>
                </c:pt>
              </c:numCache>
            </c:numRef>
          </c:val>
        </c:ser>
        <c:dLbls>
          <c:showLegendKey val="0"/>
          <c:showVal val="0"/>
          <c:showCatName val="0"/>
          <c:showSerName val="0"/>
          <c:showPercent val="0"/>
          <c:showBubbleSize val="0"/>
        </c:dLbls>
        <c:axId val="74497408"/>
        <c:axId val="82760832"/>
      </c:areaChart>
      <c:catAx>
        <c:axId val="74497408"/>
        <c:scaling>
          <c:orientation val="minMax"/>
        </c:scaling>
        <c:delete val="0"/>
        <c:axPos val="b"/>
        <c:majorTickMark val="none"/>
        <c:minorTickMark val="none"/>
        <c:tickLblPos val="nextTo"/>
        <c:txPr>
          <a:bodyPr rot="-5400000" vert="horz"/>
          <a:lstStyle/>
          <a:p>
            <a:pPr>
              <a:defRPr/>
            </a:pPr>
            <a:endParaRPr lang="it-IT"/>
          </a:p>
        </c:txPr>
        <c:crossAx val="82760832"/>
        <c:crosses val="autoZero"/>
        <c:auto val="1"/>
        <c:lblAlgn val="ctr"/>
        <c:lblOffset val="100"/>
        <c:noMultiLvlLbl val="0"/>
      </c:catAx>
      <c:valAx>
        <c:axId val="82760832"/>
        <c:scaling>
          <c:orientation val="minMax"/>
          <c:max val="23"/>
          <c:min val="0"/>
        </c:scaling>
        <c:delete val="0"/>
        <c:axPos val="l"/>
        <c:numFmt formatCode="0" sourceLinked="0"/>
        <c:majorTickMark val="none"/>
        <c:minorTickMark val="none"/>
        <c:tickLblPos val="nextTo"/>
        <c:crossAx val="74497408"/>
        <c:crosses val="autoZero"/>
        <c:crossBetween val="midCat"/>
      </c:valAx>
    </c:plotArea>
    <c:legend>
      <c:legendPos val="b"/>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3A9F07-2554-4602-98EB-FB47EC88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DIREZIONE COMUNICAZIONE E IMMAGINE</vt:lpstr>
    </vt:vector>
  </TitlesOfParts>
  <Company>CONFCOMMERCIO</Company>
  <LinksUpToDate>false</LinksUpToDate>
  <CharactersWithSpaces>6585</CharactersWithSpaces>
  <SharedDoc>false</SharedDoc>
  <HLinks>
    <vt:vector size="18" baseType="variant">
      <vt:variant>
        <vt:i4>5570645</vt:i4>
      </vt:variant>
      <vt:variant>
        <vt:i4>6</vt:i4>
      </vt:variant>
      <vt:variant>
        <vt:i4>0</vt:i4>
      </vt:variant>
      <vt:variant>
        <vt:i4>5</vt:i4>
      </vt:variant>
      <vt:variant>
        <vt:lpwstr>http://www.confcommercio.it/home/Centro-stu/index.htm</vt:lpwstr>
      </vt:variant>
      <vt:variant>
        <vt:lpwstr/>
      </vt:variant>
      <vt:variant>
        <vt:i4>5505041</vt:i4>
      </vt:variant>
      <vt:variant>
        <vt:i4>3</vt:i4>
      </vt:variant>
      <vt:variant>
        <vt:i4>0</vt:i4>
      </vt:variant>
      <vt:variant>
        <vt:i4>5</vt:i4>
      </vt:variant>
      <vt:variant>
        <vt:lpwstr>http://twitter.com/Confcommercio</vt:lpwstr>
      </vt:variant>
      <vt:variant>
        <vt:lpwstr/>
      </vt:variant>
      <vt:variant>
        <vt:i4>1245190</vt:i4>
      </vt:variant>
      <vt:variant>
        <vt:i4>0</vt:i4>
      </vt:variant>
      <vt:variant>
        <vt:i4>0</vt:i4>
      </vt:variant>
      <vt:variant>
        <vt:i4>5</vt:i4>
      </vt:variant>
      <vt:variant>
        <vt:lpwstr>http://www.facebook.it/confcommercio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COMUNICAZIONE E IMMAGINE</dc:title>
  <dc:creator>AREA COM. IMMAGINE</dc:creator>
  <cp:lastModifiedBy>moretti</cp:lastModifiedBy>
  <cp:revision>2</cp:revision>
  <cp:lastPrinted>2014-02-07T09:31:00Z</cp:lastPrinted>
  <dcterms:created xsi:type="dcterms:W3CDTF">2014-03-07T08:31:00Z</dcterms:created>
  <dcterms:modified xsi:type="dcterms:W3CDTF">2014-03-07T08:31:00Z</dcterms:modified>
</cp:coreProperties>
</file>