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52" w:rsidRDefault="009C6C39" w:rsidP="009C6C39">
      <w:pPr>
        <w:jc w:val="right"/>
        <w:rPr>
          <w:rFonts w:ascii="Verdana" w:hAnsi="Verdana"/>
          <w:sz w:val="26"/>
          <w:szCs w:val="26"/>
        </w:rPr>
      </w:pPr>
      <w:bookmarkStart w:id="0" w:name="_GoBack"/>
      <w:bookmarkEnd w:id="0"/>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p>
    <w:p w:rsidR="00056791" w:rsidRDefault="00056791" w:rsidP="009A2652">
      <w:pPr>
        <w:pStyle w:val="Corpodeltesto2"/>
        <w:rPr>
          <w:rFonts w:ascii="Verdana" w:hAnsi="Verdana"/>
          <w:sz w:val="26"/>
          <w:szCs w:val="26"/>
        </w:rPr>
      </w:pPr>
    </w:p>
    <w:p w:rsidR="00056791" w:rsidRPr="009A2652" w:rsidRDefault="00056791" w:rsidP="009A2652">
      <w:pPr>
        <w:pStyle w:val="Corpodeltesto2"/>
        <w:rPr>
          <w:rFonts w:ascii="Verdana" w:hAnsi="Verdana"/>
          <w:sz w:val="26"/>
          <w:szCs w:val="26"/>
        </w:rPr>
      </w:pPr>
    </w:p>
    <w:p w:rsidR="009A2652" w:rsidRDefault="009A2652" w:rsidP="009A2652">
      <w:pPr>
        <w:autoSpaceDE w:val="0"/>
        <w:autoSpaceDN w:val="0"/>
        <w:adjustRightInd w:val="0"/>
        <w:jc w:val="both"/>
        <w:rPr>
          <w:rFonts w:ascii="Arial" w:hAnsi="Arial" w:cs="Arial"/>
          <w:sz w:val="24"/>
          <w:szCs w:val="24"/>
        </w:rPr>
      </w:pPr>
    </w:p>
    <w:p w:rsidR="009A2652" w:rsidRPr="009A2652" w:rsidRDefault="009A2652" w:rsidP="009A2652">
      <w:pPr>
        <w:autoSpaceDE w:val="0"/>
        <w:autoSpaceDN w:val="0"/>
        <w:adjustRightInd w:val="0"/>
        <w:ind w:firstLine="709"/>
        <w:jc w:val="both"/>
        <w:rPr>
          <w:rFonts w:ascii="Verdana" w:hAnsi="Verdana" w:cs="Arial"/>
          <w:sz w:val="24"/>
          <w:szCs w:val="24"/>
        </w:rPr>
      </w:pPr>
    </w:p>
    <w:tbl>
      <w:tblPr>
        <w:tblW w:w="8560" w:type="dxa"/>
        <w:tblInd w:w="637" w:type="dxa"/>
        <w:tblCellMar>
          <w:left w:w="70" w:type="dxa"/>
          <w:right w:w="70" w:type="dxa"/>
        </w:tblCellMar>
        <w:tblLook w:val="04A0" w:firstRow="1" w:lastRow="0" w:firstColumn="1" w:lastColumn="0" w:noHBand="0" w:noVBand="1"/>
      </w:tblPr>
      <w:tblGrid>
        <w:gridCol w:w="1840"/>
        <w:gridCol w:w="1680"/>
        <w:gridCol w:w="1680"/>
        <w:gridCol w:w="1680"/>
        <w:gridCol w:w="1680"/>
      </w:tblGrid>
      <w:tr w:rsidR="009A2652" w:rsidRPr="009A2652" w:rsidTr="009A2652">
        <w:trPr>
          <w:trHeight w:val="315"/>
        </w:trPr>
        <w:tc>
          <w:tcPr>
            <w:tcW w:w="8560" w:type="dxa"/>
            <w:gridSpan w:val="5"/>
            <w:tcBorders>
              <w:top w:val="nil"/>
              <w:left w:val="nil"/>
              <w:bottom w:val="double" w:sz="6" w:space="0" w:color="auto"/>
              <w:right w:val="nil"/>
            </w:tcBorders>
            <w:noWrap/>
            <w:vAlign w:val="center"/>
            <w:hideMark/>
          </w:tcPr>
          <w:p w:rsidR="009A2652" w:rsidRDefault="009A2652">
            <w:pPr>
              <w:jc w:val="center"/>
              <w:rPr>
                <w:rFonts w:ascii="Arial" w:eastAsia="Times New Roman" w:hAnsi="Arial" w:cs="Arial"/>
                <w:b/>
                <w:bCs/>
                <w:color w:val="000000"/>
                <w:sz w:val="20"/>
              </w:rPr>
            </w:pPr>
            <w:r>
              <w:rPr>
                <w:rFonts w:ascii="Arial" w:eastAsia="Times New Roman" w:hAnsi="Arial" w:cs="Arial"/>
                <w:b/>
                <w:bCs/>
                <w:color w:val="000000"/>
                <w:sz w:val="20"/>
              </w:rPr>
              <w:t xml:space="preserve">Tabella 1: Prezzi, disoccupazione e </w:t>
            </w:r>
            <w:proofErr w:type="spellStart"/>
            <w:r>
              <w:rPr>
                <w:rFonts w:ascii="Arial" w:eastAsia="Times New Roman" w:hAnsi="Arial" w:cs="Arial"/>
                <w:b/>
                <w:bCs/>
                <w:color w:val="000000"/>
                <w:sz w:val="20"/>
              </w:rPr>
              <w:t>Misery</w:t>
            </w:r>
            <w:proofErr w:type="spellEnd"/>
            <w:r>
              <w:rPr>
                <w:rFonts w:ascii="Arial" w:eastAsia="Times New Roman" w:hAnsi="Arial" w:cs="Arial"/>
                <w:b/>
                <w:bCs/>
                <w:color w:val="000000"/>
                <w:sz w:val="20"/>
              </w:rPr>
              <w:t xml:space="preserve"> Index Confcommercio (MIC) in Italia</w:t>
            </w:r>
          </w:p>
        </w:tc>
      </w:tr>
      <w:tr w:rsidR="009A2652" w:rsidTr="009A2652">
        <w:trPr>
          <w:trHeight w:val="705"/>
        </w:trPr>
        <w:tc>
          <w:tcPr>
            <w:tcW w:w="1840" w:type="dxa"/>
            <w:tcBorders>
              <w:top w:val="nil"/>
              <w:left w:val="nil"/>
              <w:bottom w:val="single" w:sz="8" w:space="0" w:color="auto"/>
              <w:right w:val="nil"/>
            </w:tcBorders>
            <w:vAlign w:val="center"/>
            <w:hideMark/>
          </w:tcPr>
          <w:p w:rsidR="009A2652" w:rsidRDefault="009A2652">
            <w:pPr>
              <w:rPr>
                <w:rFonts w:ascii="Arial" w:eastAsia="Times New Roman" w:hAnsi="Arial" w:cs="Arial"/>
                <w:b/>
                <w:bCs/>
                <w:color w:val="000000"/>
                <w:sz w:val="16"/>
                <w:szCs w:val="16"/>
              </w:rPr>
            </w:pPr>
            <w:r>
              <w:rPr>
                <w:rFonts w:ascii="Arial" w:eastAsia="Times New Roman" w:hAnsi="Arial" w:cs="Arial"/>
                <w:b/>
                <w:bCs/>
                <w:color w:val="000000"/>
                <w:sz w:val="16"/>
                <w:szCs w:val="16"/>
              </w:rPr>
              <w:t>anno</w:t>
            </w:r>
          </w:p>
        </w:tc>
        <w:tc>
          <w:tcPr>
            <w:tcW w:w="1680" w:type="dxa"/>
            <w:tcBorders>
              <w:top w:val="nil"/>
              <w:left w:val="nil"/>
              <w:bottom w:val="single" w:sz="8" w:space="0" w:color="auto"/>
              <w:right w:val="nil"/>
            </w:tcBorders>
            <w:vAlign w:val="center"/>
            <w:hideMark/>
          </w:tcPr>
          <w:p w:rsidR="009A2652" w:rsidRDefault="009A265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disoccupazione ufficiale (%)</w:t>
            </w:r>
          </w:p>
        </w:tc>
        <w:tc>
          <w:tcPr>
            <w:tcW w:w="1680" w:type="dxa"/>
            <w:tcBorders>
              <w:top w:val="nil"/>
              <w:left w:val="nil"/>
              <w:bottom w:val="single" w:sz="8" w:space="0" w:color="auto"/>
              <w:right w:val="nil"/>
            </w:tcBorders>
            <w:vAlign w:val="center"/>
            <w:hideMark/>
          </w:tcPr>
          <w:p w:rsidR="009A2652" w:rsidRDefault="009A265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disoccupazione estesa (%) *</w:t>
            </w:r>
          </w:p>
        </w:tc>
        <w:tc>
          <w:tcPr>
            <w:tcW w:w="1680" w:type="dxa"/>
            <w:tcBorders>
              <w:top w:val="nil"/>
              <w:left w:val="nil"/>
              <w:bottom w:val="single" w:sz="8" w:space="0" w:color="auto"/>
              <w:right w:val="nil"/>
            </w:tcBorders>
            <w:vAlign w:val="center"/>
            <w:hideMark/>
          </w:tcPr>
          <w:p w:rsidR="009A2652" w:rsidRDefault="009A265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Δ% prezzi-alta frequenza di acquisto</w:t>
            </w:r>
          </w:p>
        </w:tc>
        <w:tc>
          <w:tcPr>
            <w:tcW w:w="1680" w:type="dxa"/>
            <w:tcBorders>
              <w:top w:val="nil"/>
              <w:left w:val="nil"/>
              <w:bottom w:val="single" w:sz="8" w:space="0" w:color="auto"/>
              <w:right w:val="nil"/>
            </w:tcBorders>
            <w:vAlign w:val="center"/>
            <w:hideMark/>
          </w:tcPr>
          <w:p w:rsidR="009A2652" w:rsidRDefault="009A265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MIC*</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2007</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7,8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12,0</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2008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8,7</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14,6</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2009</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7,8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0,8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14,1</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2010</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8,4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16,2</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2011</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8,4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17,2</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2012-I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9,9</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13,2</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2012-II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13,8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20,7</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2012-III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14,2</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21,1</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2012-IV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14,6</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21,1</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2013-I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15,2</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21,0</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2013-II trim.</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15,4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20,6</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2013-Luglio</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15,5</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21,1</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2013-Agosto</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16,0</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21,4</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2013-Settembre</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16,2</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21,2</w:t>
            </w:r>
          </w:p>
        </w:tc>
      </w:tr>
      <w:tr w:rsidR="009A2652" w:rsidTr="009A2652">
        <w:trPr>
          <w:trHeight w:val="210"/>
        </w:trPr>
        <w:tc>
          <w:tcPr>
            <w:tcW w:w="1840" w:type="dxa"/>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2013-Ottobre</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16,2</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0,8</w:t>
            </w:r>
          </w:p>
        </w:tc>
        <w:tc>
          <w:tcPr>
            <w:tcW w:w="1680" w:type="dxa"/>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21,1</w:t>
            </w:r>
          </w:p>
        </w:tc>
      </w:tr>
      <w:tr w:rsidR="009A2652" w:rsidTr="009A2652">
        <w:trPr>
          <w:trHeight w:val="210"/>
        </w:trPr>
        <w:tc>
          <w:tcPr>
            <w:tcW w:w="1840" w:type="dxa"/>
            <w:tcBorders>
              <w:top w:val="nil"/>
              <w:left w:val="nil"/>
              <w:bottom w:val="double" w:sz="6" w:space="0" w:color="auto"/>
              <w:right w:val="nil"/>
            </w:tcBorders>
            <w:noWrap/>
            <w:vAlign w:val="center"/>
            <w:hideMark/>
          </w:tcPr>
          <w:p w:rsidR="009A2652" w:rsidRDefault="009A2652">
            <w:pPr>
              <w:rPr>
                <w:rFonts w:ascii="Arial" w:eastAsia="Times New Roman" w:hAnsi="Arial" w:cs="Arial"/>
                <w:color w:val="000000"/>
                <w:sz w:val="16"/>
                <w:szCs w:val="16"/>
              </w:rPr>
            </w:pPr>
            <w:r>
              <w:rPr>
                <w:rFonts w:ascii="Arial" w:eastAsia="Times New Roman" w:hAnsi="Arial" w:cs="Arial"/>
                <w:color w:val="000000"/>
                <w:sz w:val="16"/>
                <w:szCs w:val="16"/>
              </w:rPr>
              <w:t>2013-Novembre</w:t>
            </w:r>
          </w:p>
        </w:tc>
        <w:tc>
          <w:tcPr>
            <w:tcW w:w="1680" w:type="dxa"/>
            <w:tcBorders>
              <w:top w:val="nil"/>
              <w:left w:val="nil"/>
              <w:bottom w:val="double" w:sz="6" w:space="0" w:color="auto"/>
              <w:right w:val="nil"/>
            </w:tcBorders>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12,7</w:t>
            </w:r>
          </w:p>
        </w:tc>
        <w:tc>
          <w:tcPr>
            <w:tcW w:w="1680" w:type="dxa"/>
            <w:tcBorders>
              <w:top w:val="nil"/>
              <w:left w:val="nil"/>
              <w:bottom w:val="double" w:sz="6" w:space="0" w:color="auto"/>
              <w:right w:val="nil"/>
            </w:tcBorders>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16,5</w:t>
            </w:r>
          </w:p>
        </w:tc>
        <w:tc>
          <w:tcPr>
            <w:tcW w:w="1680" w:type="dxa"/>
            <w:tcBorders>
              <w:top w:val="nil"/>
              <w:left w:val="nil"/>
              <w:bottom w:val="double" w:sz="6" w:space="0" w:color="auto"/>
              <w:right w:val="nil"/>
            </w:tcBorders>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0,8</w:t>
            </w:r>
          </w:p>
        </w:tc>
        <w:tc>
          <w:tcPr>
            <w:tcW w:w="1680" w:type="dxa"/>
            <w:tcBorders>
              <w:top w:val="nil"/>
              <w:left w:val="nil"/>
              <w:bottom w:val="double" w:sz="6" w:space="0" w:color="auto"/>
              <w:right w:val="nil"/>
            </w:tcBorders>
            <w:noWrap/>
            <w:vAlign w:val="center"/>
            <w:hideMark/>
          </w:tcPr>
          <w:p w:rsidR="009A2652" w:rsidRDefault="009A2652">
            <w:pPr>
              <w:jc w:val="center"/>
              <w:rPr>
                <w:rFonts w:ascii="Arial" w:eastAsia="Times New Roman" w:hAnsi="Arial" w:cs="Arial"/>
                <w:color w:val="000000"/>
                <w:sz w:val="16"/>
                <w:szCs w:val="16"/>
              </w:rPr>
            </w:pPr>
            <w:r>
              <w:rPr>
                <w:rFonts w:ascii="Arial" w:eastAsia="Times New Roman" w:hAnsi="Arial" w:cs="Arial"/>
                <w:color w:val="000000"/>
                <w:sz w:val="16"/>
                <w:szCs w:val="16"/>
              </w:rPr>
              <w:t>21,4</w:t>
            </w:r>
          </w:p>
        </w:tc>
      </w:tr>
    </w:tbl>
    <w:p w:rsidR="009A2652" w:rsidRDefault="009A2652" w:rsidP="009A2652">
      <w:pPr>
        <w:ind w:left="567" w:right="566"/>
        <w:jc w:val="both"/>
        <w:rPr>
          <w:rFonts w:ascii="Arial" w:hAnsi="Arial" w:cs="Arial"/>
          <w:sz w:val="16"/>
          <w:szCs w:val="16"/>
          <w:lang w:eastAsia="en-US"/>
        </w:rPr>
      </w:pPr>
    </w:p>
    <w:p w:rsidR="009A2652" w:rsidRDefault="009A2652" w:rsidP="009A2652">
      <w:pPr>
        <w:ind w:left="567" w:right="566"/>
        <w:jc w:val="both"/>
        <w:rPr>
          <w:rFonts w:ascii="Arial" w:hAnsi="Arial" w:cs="Arial"/>
          <w:i/>
          <w:sz w:val="16"/>
          <w:szCs w:val="16"/>
        </w:rPr>
      </w:pPr>
      <w:r>
        <w:rPr>
          <w:rFonts w:ascii="Arial" w:hAnsi="Arial" w:cs="Arial"/>
          <w:sz w:val="16"/>
          <w:szCs w:val="16"/>
        </w:rPr>
        <w:t>Elaborazioni Ufficio Studi Confcommercio-Imprese per l’Italia su dati ISTAT ed INPS.</w:t>
      </w:r>
    </w:p>
    <w:p w:rsidR="009A2652" w:rsidRDefault="009A2652" w:rsidP="009A2652">
      <w:pPr>
        <w:ind w:left="567" w:right="566"/>
        <w:jc w:val="both"/>
        <w:rPr>
          <w:rFonts w:ascii="Arial" w:hAnsi="Arial" w:cs="Arial"/>
          <w:sz w:val="16"/>
          <w:szCs w:val="16"/>
        </w:rPr>
      </w:pPr>
      <w:r>
        <w:rPr>
          <w:rFonts w:ascii="Arial" w:hAnsi="Arial" w:cs="Arial"/>
          <w:sz w:val="16"/>
          <w:szCs w:val="16"/>
        </w:rPr>
        <w:t xml:space="preserve">Legenda: per le definizioni si veda la nota tecnica. * I dati degli ultimi </w:t>
      </w:r>
      <w:r w:rsidRPr="00AF519D">
        <w:rPr>
          <w:rFonts w:ascii="Arial" w:hAnsi="Arial" w:cs="Arial"/>
          <w:sz w:val="16"/>
          <w:szCs w:val="16"/>
        </w:rPr>
        <w:t>cinque mesi</w:t>
      </w:r>
      <w:r>
        <w:rPr>
          <w:rFonts w:ascii="Arial" w:hAnsi="Arial" w:cs="Arial"/>
          <w:sz w:val="16"/>
          <w:szCs w:val="16"/>
        </w:rPr>
        <w:t xml:space="preserve"> sono frutto di stime (cfr. la nota tecnica a pag. 3).</w:t>
      </w:r>
    </w:p>
    <w:p w:rsidR="009A2652" w:rsidRDefault="009A2652" w:rsidP="009A2652">
      <w:pPr>
        <w:ind w:left="567"/>
        <w:jc w:val="center"/>
        <w:rPr>
          <w:rFonts w:ascii="Arial" w:hAnsi="Arial" w:cs="Arial"/>
          <w:sz w:val="24"/>
          <w:szCs w:val="28"/>
        </w:rPr>
      </w:pPr>
      <w:r>
        <w:rPr>
          <w:rFonts w:ascii="Arial" w:hAnsi="Arial" w:cs="Arial"/>
          <w:b/>
          <w:bCs/>
          <w:sz w:val="24"/>
          <w:szCs w:val="28"/>
        </w:rPr>
        <w:t xml:space="preserve">Figura 1: </w:t>
      </w:r>
      <w:proofErr w:type="spellStart"/>
      <w:r>
        <w:rPr>
          <w:rFonts w:ascii="Arial" w:hAnsi="Arial" w:cs="Arial"/>
          <w:b/>
          <w:bCs/>
          <w:sz w:val="24"/>
          <w:szCs w:val="28"/>
        </w:rPr>
        <w:t>Misery</w:t>
      </w:r>
      <w:proofErr w:type="spellEnd"/>
      <w:r>
        <w:rPr>
          <w:rFonts w:ascii="Arial" w:hAnsi="Arial" w:cs="Arial"/>
          <w:b/>
          <w:bCs/>
          <w:sz w:val="24"/>
          <w:szCs w:val="28"/>
        </w:rPr>
        <w:t xml:space="preserve"> Index Confcommercio (MIC)</w:t>
      </w:r>
    </w:p>
    <w:p w:rsidR="009A2652" w:rsidRDefault="009A2652" w:rsidP="009A2652">
      <w:pPr>
        <w:ind w:left="567"/>
        <w:rPr>
          <w:rFonts w:ascii="Arial" w:hAnsi="Arial" w:cs="Arial"/>
          <w:sz w:val="22"/>
          <w:szCs w:val="22"/>
        </w:rPr>
      </w:pPr>
      <w:r>
        <w:rPr>
          <w:noProof/>
        </w:rPr>
        <w:drawing>
          <wp:inline distT="0" distB="0" distL="0" distR="0">
            <wp:extent cx="5416550" cy="3365500"/>
            <wp:effectExtent l="0" t="0" r="12700" b="2540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652" w:rsidRDefault="009A2652" w:rsidP="009A2652">
      <w:pPr>
        <w:ind w:left="567" w:right="566"/>
        <w:jc w:val="both"/>
        <w:rPr>
          <w:rFonts w:ascii="Arial" w:hAnsi="Arial" w:cs="Arial"/>
          <w:i/>
          <w:sz w:val="16"/>
          <w:szCs w:val="16"/>
        </w:rPr>
      </w:pPr>
      <w:r>
        <w:rPr>
          <w:rFonts w:ascii="Arial" w:hAnsi="Arial" w:cs="Arial"/>
          <w:sz w:val="16"/>
          <w:szCs w:val="16"/>
        </w:rPr>
        <w:t>Elaborazioni Ufficio Studi Confcommercio-Imprese per l’Italia su dati ISTAT ed INPS.</w:t>
      </w:r>
    </w:p>
    <w:p w:rsidR="009A2652" w:rsidRDefault="009A2652" w:rsidP="009A2652">
      <w:pPr>
        <w:ind w:left="567" w:right="566"/>
        <w:jc w:val="both"/>
        <w:rPr>
          <w:rFonts w:ascii="Arial" w:hAnsi="Arial" w:cs="Arial"/>
          <w:sz w:val="16"/>
          <w:szCs w:val="16"/>
        </w:rPr>
      </w:pPr>
      <w:r>
        <w:rPr>
          <w:rFonts w:ascii="Arial" w:hAnsi="Arial" w:cs="Arial"/>
          <w:sz w:val="16"/>
          <w:szCs w:val="16"/>
        </w:rPr>
        <w:t xml:space="preserve">Legenda: per le definizioni si veda la nota tecnica. I dati degli ultimi </w:t>
      </w:r>
      <w:r w:rsidRPr="00AA4C3E">
        <w:rPr>
          <w:rFonts w:ascii="Arial" w:hAnsi="Arial" w:cs="Arial"/>
          <w:sz w:val="16"/>
          <w:szCs w:val="16"/>
        </w:rPr>
        <w:t>cinque mesi sono</w:t>
      </w:r>
      <w:r>
        <w:rPr>
          <w:rFonts w:ascii="Arial" w:hAnsi="Arial" w:cs="Arial"/>
          <w:sz w:val="16"/>
          <w:szCs w:val="16"/>
        </w:rPr>
        <w:t xml:space="preserve"> frutto di stime (cfr. la nota tecnica a pag. 3).</w:t>
      </w:r>
    </w:p>
    <w:p w:rsidR="009A2652" w:rsidRDefault="009A2652" w:rsidP="009A2652">
      <w:pPr>
        <w:spacing w:line="24" w:lineRule="atLeast"/>
        <w:jc w:val="center"/>
        <w:rPr>
          <w:rFonts w:ascii="Arial" w:hAnsi="Arial" w:cs="Arial"/>
          <w:b/>
          <w:bCs/>
          <w:color w:val="0000FF"/>
          <w:sz w:val="24"/>
          <w:szCs w:val="24"/>
        </w:rPr>
      </w:pPr>
      <w:r>
        <w:rPr>
          <w:rFonts w:ascii="Arial" w:hAnsi="Arial" w:cs="Arial"/>
          <w:b/>
          <w:bCs/>
          <w:color w:val="0000FF"/>
          <w:sz w:val="24"/>
          <w:szCs w:val="24"/>
        </w:rPr>
        <w:t xml:space="preserve">Nota tecnica sul calcolo del </w:t>
      </w:r>
      <w:proofErr w:type="spellStart"/>
      <w:r>
        <w:rPr>
          <w:rFonts w:ascii="Arial" w:hAnsi="Arial" w:cs="Arial"/>
          <w:b/>
          <w:bCs/>
          <w:color w:val="0000FF"/>
          <w:sz w:val="24"/>
          <w:szCs w:val="24"/>
        </w:rPr>
        <w:t>Misery</w:t>
      </w:r>
      <w:proofErr w:type="spellEnd"/>
      <w:r>
        <w:rPr>
          <w:rFonts w:ascii="Arial" w:hAnsi="Arial" w:cs="Arial"/>
          <w:b/>
          <w:bCs/>
          <w:color w:val="0000FF"/>
          <w:sz w:val="24"/>
          <w:szCs w:val="24"/>
        </w:rPr>
        <w:t xml:space="preserve"> Index Confcommercio (MIC)</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Il </w:t>
      </w:r>
      <w:proofErr w:type="spellStart"/>
      <w:r>
        <w:rPr>
          <w:rFonts w:ascii="Arial" w:hAnsi="Arial" w:cs="Arial"/>
          <w:b/>
          <w:sz w:val="16"/>
          <w:szCs w:val="16"/>
        </w:rPr>
        <w:t>Misery</w:t>
      </w:r>
      <w:proofErr w:type="spellEnd"/>
      <w:r>
        <w:rPr>
          <w:rFonts w:ascii="Arial" w:hAnsi="Arial" w:cs="Arial"/>
          <w:b/>
          <w:sz w:val="16"/>
          <w:szCs w:val="16"/>
        </w:rPr>
        <w:t xml:space="preserve"> Index</w:t>
      </w:r>
      <w:r>
        <w:rPr>
          <w:rFonts w:ascii="Arial" w:hAnsi="Arial" w:cs="Arial"/>
          <w:sz w:val="16"/>
          <w:szCs w:val="16"/>
        </w:rPr>
        <w:t xml:space="preserve"> </w:t>
      </w:r>
      <w:r>
        <w:rPr>
          <w:rFonts w:ascii="Arial" w:hAnsi="Arial" w:cs="Arial"/>
          <w:b/>
          <w:sz w:val="16"/>
          <w:szCs w:val="16"/>
        </w:rPr>
        <w:t>(MI)</w:t>
      </w:r>
      <w:r>
        <w:rPr>
          <w:rFonts w:ascii="Arial" w:hAnsi="Arial" w:cs="Arial"/>
          <w:sz w:val="16"/>
          <w:szCs w:val="16"/>
        </w:rPr>
        <w:t xml:space="preserve"> tradizionale è dato dalla semplice somma di tasso di disoccupazione e tasso d’inflazione. I pesi assegnati ai due “mali” sono dunque identici e pari a 1.</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Il </w:t>
      </w:r>
      <w:proofErr w:type="spellStart"/>
      <w:r>
        <w:rPr>
          <w:rFonts w:ascii="Arial" w:hAnsi="Arial" w:cs="Arial"/>
          <w:b/>
          <w:sz w:val="16"/>
          <w:szCs w:val="16"/>
        </w:rPr>
        <w:t>Misery</w:t>
      </w:r>
      <w:proofErr w:type="spellEnd"/>
      <w:r>
        <w:rPr>
          <w:rFonts w:ascii="Arial" w:hAnsi="Arial" w:cs="Arial"/>
          <w:b/>
          <w:sz w:val="16"/>
          <w:szCs w:val="16"/>
        </w:rPr>
        <w:t xml:space="preserve"> Index Confcommercio (MIC)</w:t>
      </w:r>
      <w:r>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ISTAT): le dinamiche di prezzo di questo paniere dovrebbero influenzare in modo più diretto la percezione dell’inflazione da parte delle famiglie, correlandosi direttamente con le preoccupazioni (disagio) in merito al proprio potere d’acquisto.</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lastRenderedPageBreak/>
        <w:t xml:space="preserve">Si assegnano pesi diversi alle due componenti, disoccupazione ed inflazione, rispettivamente 1,2647 e 0,7353. Ciò sulla base degli studi scientifici internazionali che, utilizzando dati </w:t>
      </w:r>
      <w:proofErr w:type="spellStart"/>
      <w:r>
        <w:rPr>
          <w:rFonts w:ascii="Arial" w:hAnsi="Arial" w:cs="Arial"/>
          <w:sz w:val="16"/>
          <w:szCs w:val="16"/>
        </w:rPr>
        <w:t>Eurobarometro</w:t>
      </w:r>
      <w:proofErr w:type="spellEnd"/>
      <w:r>
        <w:rPr>
          <w:rFonts w:ascii="Arial" w:hAnsi="Arial" w:cs="Arial"/>
          <w:sz w:val="16"/>
          <w:szCs w:val="16"/>
        </w:rPr>
        <w:t xml:space="preserve"> sul benessere dei cittadini europei (si veda Di Tella, </w:t>
      </w:r>
      <w:proofErr w:type="spellStart"/>
      <w:r>
        <w:rPr>
          <w:rFonts w:ascii="Arial" w:hAnsi="Arial" w:cs="Arial"/>
          <w:sz w:val="16"/>
          <w:szCs w:val="16"/>
        </w:rPr>
        <w:t>MacCulloch</w:t>
      </w:r>
      <w:proofErr w:type="spellEnd"/>
      <w:r>
        <w:rPr>
          <w:rFonts w:ascii="Arial" w:hAnsi="Arial" w:cs="Arial"/>
          <w:sz w:val="16"/>
          <w:szCs w:val="16"/>
        </w:rPr>
        <w:t xml:space="preserve"> ed Oswald, 2001), hanno dimostrato come il costo della disoccupazione in termini di soddisfazione di vita sia molto superiore a quello dell’inflazione.</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D’altra parte, tutte le recenti ricerche sociali evidenziano come prima preoccupazione dei cittadini sia la questione del lavoro, e quindi la paura della disoccupazione. Il </w:t>
      </w:r>
      <w:proofErr w:type="spellStart"/>
      <w:r>
        <w:rPr>
          <w:rFonts w:ascii="Arial" w:hAnsi="Arial" w:cs="Arial"/>
          <w:sz w:val="16"/>
          <w:szCs w:val="16"/>
        </w:rPr>
        <w:t>Misery</w:t>
      </w:r>
      <w:proofErr w:type="spellEnd"/>
      <w:r>
        <w:rPr>
          <w:rFonts w:ascii="Arial" w:hAnsi="Arial" w:cs="Arial"/>
          <w:sz w:val="16"/>
          <w:szCs w:val="16"/>
        </w:rPr>
        <w:t xml:space="preserve">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Pr>
          <w:rFonts w:ascii="Arial" w:hAnsi="Arial" w:cs="Arial"/>
          <w:sz w:val="16"/>
          <w:szCs w:val="16"/>
        </w:rPr>
        <w:t>Castriota</w:t>
      </w:r>
      <w:proofErr w:type="spellEnd"/>
      <w:r>
        <w:rPr>
          <w:rFonts w:ascii="Arial" w:hAnsi="Arial" w:cs="Arial"/>
          <w:sz w:val="16"/>
          <w:szCs w:val="16"/>
        </w:rPr>
        <w:t xml:space="preserve"> e </w:t>
      </w:r>
      <w:proofErr w:type="spellStart"/>
      <w:r>
        <w:rPr>
          <w:rFonts w:ascii="Arial" w:hAnsi="Arial" w:cs="Arial"/>
          <w:sz w:val="16"/>
          <w:szCs w:val="16"/>
        </w:rPr>
        <w:t>Giuntella</w:t>
      </w:r>
      <w:proofErr w:type="spellEnd"/>
      <w:r>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rispettivamente, (1,72/2,72)x2=1,2647 e (1/2,72)x2=0,7353. I pesi sono moltiplicati per due in modo da lasciare la loro somma uguale a due per consentire una lettura non ambigua dei risultati (anche nel calcolo del </w:t>
      </w:r>
      <w:proofErr w:type="spellStart"/>
      <w:r>
        <w:rPr>
          <w:rFonts w:ascii="Arial" w:hAnsi="Arial" w:cs="Arial"/>
          <w:sz w:val="16"/>
          <w:szCs w:val="16"/>
        </w:rPr>
        <w:t>Misery</w:t>
      </w:r>
      <w:proofErr w:type="spellEnd"/>
      <w:r>
        <w:rPr>
          <w:rFonts w:ascii="Arial" w:hAnsi="Arial" w:cs="Arial"/>
          <w:sz w:val="16"/>
          <w:szCs w:val="16"/>
        </w:rPr>
        <w:t xml:space="preserve"> Index tradizionale la somma dei pesi è pari a due).</w:t>
      </w:r>
    </w:p>
    <w:p w:rsidR="009A2652" w:rsidRDefault="009A2652" w:rsidP="009A2652">
      <w:pPr>
        <w:pStyle w:val="Paragrafoelenco1"/>
        <w:spacing w:after="0" w:line="288" w:lineRule="auto"/>
        <w:ind w:left="0" w:firstLine="709"/>
        <w:jc w:val="both"/>
        <w:rPr>
          <w:rFonts w:ascii="Arial" w:hAnsi="Arial" w:cs="Arial"/>
          <w:sz w:val="16"/>
          <w:szCs w:val="16"/>
        </w:rPr>
      </w:pP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Il tasso di disoccupazione esteso è il termine in parentesi quadra a destra nella seguente formula:</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MIC=0,7353 × (</w:t>
      </w:r>
      <w:proofErr w:type="spellStart"/>
      <w:r>
        <w:rPr>
          <w:rFonts w:ascii="Arial" w:hAnsi="Arial" w:cs="Arial"/>
          <w:sz w:val="16"/>
          <w:szCs w:val="16"/>
        </w:rPr>
        <w:t>infl</w:t>
      </w:r>
      <w:proofErr w:type="spellEnd"/>
      <w:r>
        <w:rPr>
          <w:rFonts w:ascii="Arial" w:hAnsi="Arial" w:cs="Arial"/>
          <w:sz w:val="16"/>
          <w:szCs w:val="16"/>
        </w:rPr>
        <w:t>. AF) + 1,2647 × [(</w:t>
      </w:r>
      <w:proofErr w:type="spellStart"/>
      <w:r>
        <w:rPr>
          <w:rFonts w:ascii="Arial" w:hAnsi="Arial" w:cs="Arial"/>
          <w:sz w:val="16"/>
          <w:szCs w:val="16"/>
        </w:rPr>
        <w:t>disocc</w:t>
      </w:r>
      <w:proofErr w:type="spellEnd"/>
      <w:r>
        <w:rPr>
          <w:rFonts w:ascii="Arial" w:hAnsi="Arial" w:cs="Arial"/>
          <w:sz w:val="16"/>
          <w:szCs w:val="16"/>
        </w:rPr>
        <w:t xml:space="preserve">.+FL </w:t>
      </w:r>
      <w:proofErr w:type="spellStart"/>
      <w:r>
        <w:rPr>
          <w:rFonts w:ascii="Arial" w:hAnsi="Arial" w:cs="Arial"/>
          <w:sz w:val="16"/>
          <w:szCs w:val="16"/>
        </w:rPr>
        <w:t>pot</w:t>
      </w:r>
      <w:proofErr w:type="spellEnd"/>
      <w:r>
        <w:rPr>
          <w:rFonts w:ascii="Arial" w:hAnsi="Arial" w:cs="Arial"/>
          <w:sz w:val="16"/>
          <w:szCs w:val="16"/>
        </w:rPr>
        <w:t>.+ CIG)/(</w:t>
      </w:r>
      <w:proofErr w:type="spellStart"/>
      <w:r>
        <w:rPr>
          <w:rFonts w:ascii="Arial" w:hAnsi="Arial" w:cs="Arial"/>
          <w:sz w:val="16"/>
          <w:szCs w:val="16"/>
        </w:rPr>
        <w:t>occ</w:t>
      </w:r>
      <w:proofErr w:type="spellEnd"/>
      <w:r>
        <w:rPr>
          <w:rFonts w:ascii="Arial" w:hAnsi="Arial" w:cs="Arial"/>
          <w:sz w:val="16"/>
          <w:szCs w:val="16"/>
        </w:rPr>
        <w:t>.+</w:t>
      </w:r>
      <w:proofErr w:type="spellStart"/>
      <w:r>
        <w:rPr>
          <w:rFonts w:ascii="Arial" w:hAnsi="Arial" w:cs="Arial"/>
          <w:sz w:val="16"/>
          <w:szCs w:val="16"/>
        </w:rPr>
        <w:t>disocc</w:t>
      </w:r>
      <w:proofErr w:type="spellEnd"/>
      <w:r>
        <w:rPr>
          <w:rFonts w:ascii="Arial" w:hAnsi="Arial" w:cs="Arial"/>
          <w:sz w:val="16"/>
          <w:szCs w:val="16"/>
        </w:rPr>
        <w:t xml:space="preserve">.+FL </w:t>
      </w:r>
      <w:proofErr w:type="spellStart"/>
      <w:r>
        <w:rPr>
          <w:rFonts w:ascii="Arial" w:hAnsi="Arial" w:cs="Arial"/>
          <w:sz w:val="16"/>
          <w:szCs w:val="16"/>
        </w:rPr>
        <w:t>pot</w:t>
      </w:r>
      <w:proofErr w:type="spellEnd"/>
      <w:r>
        <w:rPr>
          <w:rFonts w:ascii="Arial" w:hAnsi="Arial" w:cs="Arial"/>
          <w:sz w:val="16"/>
          <w:szCs w:val="16"/>
        </w:rPr>
        <w:t>.) × 100]</w:t>
      </w:r>
    </w:p>
    <w:p w:rsidR="009A2652" w:rsidRDefault="009A2652" w:rsidP="009A2652">
      <w:pPr>
        <w:pStyle w:val="Paragrafoelenco1"/>
        <w:spacing w:after="0" w:line="288" w:lineRule="auto"/>
        <w:ind w:left="0" w:firstLine="709"/>
        <w:jc w:val="both"/>
        <w:rPr>
          <w:rFonts w:ascii="Arial" w:hAnsi="Arial" w:cs="Arial"/>
          <w:sz w:val="16"/>
          <w:szCs w:val="16"/>
        </w:rPr>
      </w:pP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Al numeratore del tasso di disoccupazione 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 pari a uno dal momento che un dipendente a tempo pieno lavora otto ore. Le forze di lavoro potenziali correggono opportunamente anche il denominatore, estendendo il concetto tradizionale di forze di lavoro a coloro che hanno svolto l’ultima azione di ricerca da due a tre mesi fa e che, quindi, sono più facilmente assimilabili ai disoccupati che agli inattivi; i cassaintegrati equivalenti, invece, non compaiono al denominatore perché già conteggiati (nella rilevazione dell’ISTAT figurano tra gli occupati). </w:t>
      </w:r>
    </w:p>
    <w:p w:rsidR="009A2652" w:rsidRDefault="009A2652" w:rsidP="009A2652">
      <w:pPr>
        <w:pStyle w:val="Paragrafoelenco1"/>
        <w:spacing w:after="0" w:line="288" w:lineRule="auto"/>
        <w:ind w:left="0" w:firstLine="709"/>
        <w:jc w:val="both"/>
        <w:rPr>
          <w:rFonts w:ascii="Arial" w:hAnsi="Arial" w:cs="Arial"/>
          <w:sz w:val="16"/>
          <w:szCs w:val="16"/>
        </w:rPr>
      </w:pPr>
      <w:r>
        <w:rPr>
          <w:rFonts w:ascii="Arial" w:hAnsi="Arial" w:cs="Arial"/>
          <w:sz w:val="16"/>
          <w:szCs w:val="16"/>
        </w:rPr>
        <w:t>Di seguito la descrizione delle singole variabili e le fonti:</w:t>
      </w:r>
    </w:p>
    <w:p w:rsidR="009A2652" w:rsidRDefault="009A2652" w:rsidP="009A2652">
      <w:pPr>
        <w:pStyle w:val="Paragrafoelenco1"/>
        <w:numPr>
          <w:ilvl w:val="0"/>
          <w:numId w:val="6"/>
        </w:numPr>
        <w:spacing w:after="0" w:line="288" w:lineRule="auto"/>
        <w:jc w:val="both"/>
        <w:rPr>
          <w:rFonts w:ascii="Arial" w:hAnsi="Arial" w:cs="Arial"/>
          <w:sz w:val="16"/>
          <w:szCs w:val="16"/>
        </w:rPr>
      </w:pPr>
      <w:r>
        <w:rPr>
          <w:rFonts w:ascii="Arial" w:hAnsi="Arial" w:cs="Arial"/>
          <w:sz w:val="16"/>
          <w:szCs w:val="16"/>
        </w:rPr>
        <w:t>Tasso di inflazione dei prodotti ad alta frequenza d’acquisto: dati mensili di fonte ISTAT, variazione tendenziale;</w:t>
      </w:r>
    </w:p>
    <w:p w:rsidR="009A2652" w:rsidRDefault="009A2652" w:rsidP="009A2652">
      <w:pPr>
        <w:pStyle w:val="Paragrafoelenco1"/>
        <w:numPr>
          <w:ilvl w:val="0"/>
          <w:numId w:val="6"/>
        </w:numPr>
        <w:spacing w:after="0" w:line="288" w:lineRule="auto"/>
        <w:jc w:val="both"/>
        <w:rPr>
          <w:rFonts w:ascii="Arial" w:hAnsi="Arial" w:cs="Arial"/>
          <w:sz w:val="16"/>
          <w:szCs w:val="16"/>
        </w:rPr>
      </w:pPr>
      <w:r>
        <w:rPr>
          <w:rFonts w:ascii="Arial" w:hAnsi="Arial" w:cs="Arial"/>
          <w:sz w:val="16"/>
          <w:szCs w:val="16"/>
        </w:rPr>
        <w:t>Tasso di disoccupazione, occupati e disoccupati: dati mensili destagionalizzati di fonte ISTAT;</w:t>
      </w:r>
    </w:p>
    <w:p w:rsidR="009A2652" w:rsidRDefault="009A2652" w:rsidP="009A2652">
      <w:pPr>
        <w:pStyle w:val="Paragrafoelenco1"/>
        <w:numPr>
          <w:ilvl w:val="0"/>
          <w:numId w:val="6"/>
        </w:numPr>
        <w:spacing w:after="0" w:line="288" w:lineRule="auto"/>
        <w:jc w:val="both"/>
        <w:rPr>
          <w:rFonts w:ascii="Arial" w:hAnsi="Arial" w:cs="Arial"/>
          <w:sz w:val="16"/>
          <w:szCs w:val="16"/>
        </w:rPr>
      </w:pPr>
      <w:r>
        <w:rPr>
          <w:rFonts w:ascii="Arial" w:hAnsi="Arial" w:cs="Arial"/>
          <w:sz w:val="16"/>
          <w:szCs w:val="16"/>
        </w:rPr>
        <w:t>Ore CIG: dati mensili INPS sulle ore di CIG effettivamente utilizzate (tiraggio, confronti omogenei); tale stima costituisce un’approssimazione dal momento che le comunicazioni delle aziende all’INPS non sono sempre contestuali al periodo di fruizione del sussidio da parte del lavoratore. I dati sono stati destagionalizzati con TRAMO-SEATS;</w:t>
      </w:r>
    </w:p>
    <w:p w:rsidR="009A2652" w:rsidRDefault="009A2652" w:rsidP="009A2652">
      <w:pPr>
        <w:pStyle w:val="Paragrafoelenco1"/>
        <w:numPr>
          <w:ilvl w:val="0"/>
          <w:numId w:val="6"/>
        </w:numPr>
        <w:spacing w:after="0" w:line="288" w:lineRule="auto"/>
        <w:jc w:val="both"/>
        <w:rPr>
          <w:rFonts w:ascii="Arial" w:hAnsi="Arial" w:cs="Arial"/>
          <w:sz w:val="16"/>
          <w:szCs w:val="16"/>
        </w:rPr>
      </w:pPr>
      <w:r>
        <w:rPr>
          <w:rFonts w:ascii="Arial" w:hAnsi="Arial" w:cs="Arial"/>
          <w:sz w:val="16"/>
          <w:szCs w:val="16"/>
        </w:rPr>
        <w:t xml:space="preserve">CIG: numero di CIG-teste, calcolate dividendo le Ore CIG totali per 2000 ore annue (166,6 al mese); </w:t>
      </w:r>
    </w:p>
    <w:p w:rsidR="009A2652" w:rsidRDefault="009A2652" w:rsidP="009A2652">
      <w:pPr>
        <w:pStyle w:val="Paragrafoelenco1"/>
        <w:numPr>
          <w:ilvl w:val="0"/>
          <w:numId w:val="6"/>
        </w:numPr>
        <w:spacing w:after="0" w:line="288" w:lineRule="auto"/>
        <w:jc w:val="both"/>
        <w:rPr>
          <w:rFonts w:ascii="Arial" w:hAnsi="Arial" w:cs="Arial"/>
          <w:sz w:val="16"/>
          <w:szCs w:val="16"/>
        </w:rPr>
      </w:pPr>
      <w:r>
        <w:rPr>
          <w:rFonts w:ascii="Arial" w:hAnsi="Arial" w:cs="Arial"/>
          <w:sz w:val="16"/>
          <w:szCs w:val="16"/>
        </w:rPr>
        <w:t xml:space="preserve">Forze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Pr>
            <w:rFonts w:ascii="Arial" w:hAnsi="Arial" w:cs="Arial"/>
            <w:sz w:val="16"/>
            <w:szCs w:val="16"/>
          </w:rPr>
          <w:t>2 a</w:t>
        </w:r>
      </w:smartTag>
      <w:r>
        <w:rPr>
          <w:rFonts w:ascii="Arial" w:hAnsi="Arial" w:cs="Arial"/>
          <w:sz w:val="16"/>
          <w:szCs w:val="16"/>
        </w:rPr>
        <w:t xml:space="preserve"> 3 mesi prima dell’intervista. I dati sulle forze lavoro potenziali, forniti dall’ISTAT su base trimestrale, sono stati destagionalizzati con TRAMO-SEATS e </w:t>
      </w:r>
      <w:proofErr w:type="spellStart"/>
      <w:r>
        <w:rPr>
          <w:rFonts w:ascii="Arial" w:hAnsi="Arial" w:cs="Arial"/>
          <w:sz w:val="16"/>
          <w:szCs w:val="16"/>
        </w:rPr>
        <w:t>mensilizzati</w:t>
      </w:r>
      <w:proofErr w:type="spellEnd"/>
      <w:r>
        <w:rPr>
          <w:rFonts w:ascii="Arial" w:hAnsi="Arial" w:cs="Arial"/>
          <w:sz w:val="16"/>
          <w:szCs w:val="16"/>
        </w:rPr>
        <w:t>.</w:t>
      </w:r>
    </w:p>
    <w:p w:rsidR="009A2652" w:rsidRDefault="009A2652" w:rsidP="009A2652">
      <w:pPr>
        <w:pStyle w:val="Paragrafoelenco1"/>
        <w:spacing w:after="0" w:line="288" w:lineRule="auto"/>
        <w:ind w:left="1429"/>
        <w:jc w:val="both"/>
        <w:rPr>
          <w:rFonts w:ascii="Arial" w:hAnsi="Arial" w:cs="Arial"/>
          <w:sz w:val="16"/>
          <w:szCs w:val="16"/>
        </w:rPr>
      </w:pPr>
    </w:p>
    <w:p w:rsidR="009A2652" w:rsidRPr="00AD2706" w:rsidRDefault="009A2652" w:rsidP="009A2652">
      <w:pPr>
        <w:pStyle w:val="Paragrafoelenco1"/>
        <w:spacing w:after="0" w:line="288" w:lineRule="auto"/>
        <w:jc w:val="both"/>
        <w:rPr>
          <w:rFonts w:ascii="Arial" w:hAnsi="Arial" w:cs="Arial"/>
          <w:sz w:val="16"/>
          <w:szCs w:val="16"/>
        </w:rPr>
      </w:pPr>
      <w:r w:rsidRPr="00AD2706">
        <w:rPr>
          <w:rFonts w:ascii="Arial" w:hAnsi="Arial" w:cs="Arial"/>
          <w:b/>
          <w:sz w:val="16"/>
          <w:szCs w:val="16"/>
        </w:rPr>
        <w:t>Per il presente numero</w:t>
      </w:r>
    </w:p>
    <w:p w:rsidR="009A2652" w:rsidRPr="00AD2706" w:rsidRDefault="009A2652" w:rsidP="009A2652">
      <w:pPr>
        <w:pStyle w:val="Paragrafoelenco1"/>
        <w:numPr>
          <w:ilvl w:val="0"/>
          <w:numId w:val="6"/>
        </w:numPr>
        <w:spacing w:after="0" w:line="288" w:lineRule="auto"/>
        <w:jc w:val="both"/>
        <w:rPr>
          <w:rFonts w:ascii="Arial" w:hAnsi="Arial" w:cs="Arial"/>
          <w:sz w:val="16"/>
          <w:szCs w:val="16"/>
        </w:rPr>
      </w:pPr>
      <w:r w:rsidRPr="00AD2706">
        <w:rPr>
          <w:rFonts w:ascii="Arial" w:hAnsi="Arial" w:cs="Arial"/>
          <w:sz w:val="16"/>
          <w:szCs w:val="16"/>
        </w:rPr>
        <w:t>I dati sulle ore di CIG effettivamente utilizzate negli ultimi due mesi sono stati stimati con TRAMO-SEATS;</w:t>
      </w:r>
    </w:p>
    <w:p w:rsidR="009A2652" w:rsidRPr="00AD2706" w:rsidRDefault="009A2652" w:rsidP="009A2652">
      <w:pPr>
        <w:pStyle w:val="Paragrafoelenco1"/>
        <w:numPr>
          <w:ilvl w:val="0"/>
          <w:numId w:val="6"/>
        </w:numPr>
        <w:spacing w:after="0" w:line="288" w:lineRule="auto"/>
        <w:jc w:val="both"/>
        <w:rPr>
          <w:rFonts w:ascii="Arial" w:hAnsi="Arial" w:cs="Arial"/>
          <w:sz w:val="16"/>
          <w:szCs w:val="16"/>
        </w:rPr>
      </w:pPr>
      <w:r w:rsidRPr="00AD2706">
        <w:rPr>
          <w:rFonts w:ascii="Arial" w:hAnsi="Arial" w:cs="Arial"/>
          <w:sz w:val="16"/>
          <w:szCs w:val="16"/>
        </w:rPr>
        <w:t xml:space="preserve">I dati sulle forze di lavoro potenziali per gli ultimi cinque mesi del 2013 sono stimati applicando ai dati trimestrali un modello di previsione che tenga conto delle ciclicità stagionali (le elaborazioni sono state effettuate con TRAMO-SEATS). La previsione è stata poi opportunamente </w:t>
      </w:r>
      <w:proofErr w:type="spellStart"/>
      <w:r w:rsidRPr="00AD2706">
        <w:rPr>
          <w:rFonts w:ascii="Arial" w:hAnsi="Arial" w:cs="Arial"/>
          <w:sz w:val="16"/>
          <w:szCs w:val="16"/>
        </w:rPr>
        <w:t>mensilizzata</w:t>
      </w:r>
      <w:proofErr w:type="spellEnd"/>
      <w:r w:rsidRPr="00AD2706">
        <w:rPr>
          <w:rFonts w:ascii="Arial" w:hAnsi="Arial" w:cs="Arial"/>
          <w:sz w:val="16"/>
          <w:szCs w:val="16"/>
        </w:rPr>
        <w:t xml:space="preserve">. </w:t>
      </w:r>
    </w:p>
    <w:p w:rsidR="009A2652" w:rsidRDefault="009A2652" w:rsidP="009A2652">
      <w:pPr>
        <w:pStyle w:val="Paragrafoelenco1"/>
        <w:spacing w:after="0" w:line="24" w:lineRule="atLeast"/>
        <w:jc w:val="both"/>
        <w:rPr>
          <w:rFonts w:ascii="Arial" w:hAnsi="Arial" w:cs="Arial"/>
          <w:sz w:val="16"/>
          <w:szCs w:val="16"/>
        </w:rPr>
      </w:pPr>
    </w:p>
    <w:p w:rsidR="009A2652" w:rsidRDefault="009A2652" w:rsidP="009A2652">
      <w:pPr>
        <w:pStyle w:val="Paragrafoelenco1"/>
        <w:spacing w:after="0" w:line="288" w:lineRule="auto"/>
        <w:ind w:left="0" w:firstLine="709"/>
        <w:jc w:val="both"/>
        <w:rPr>
          <w:rFonts w:ascii="Arial" w:hAnsi="Arial" w:cs="Arial"/>
          <w:b/>
          <w:sz w:val="16"/>
          <w:szCs w:val="16"/>
          <w:lang w:val="en-US"/>
        </w:rPr>
      </w:pPr>
      <w:proofErr w:type="spellStart"/>
      <w:r>
        <w:rPr>
          <w:rFonts w:ascii="Arial" w:hAnsi="Arial" w:cs="Arial"/>
          <w:b/>
          <w:sz w:val="16"/>
          <w:szCs w:val="16"/>
          <w:lang w:val="en-US"/>
        </w:rPr>
        <w:t>Riferimenti</w:t>
      </w:r>
      <w:proofErr w:type="spellEnd"/>
    </w:p>
    <w:p w:rsidR="009A2652" w:rsidRDefault="009A2652" w:rsidP="009A2652">
      <w:pPr>
        <w:pStyle w:val="Paragrafoelenco1"/>
        <w:spacing w:after="0" w:line="288" w:lineRule="auto"/>
        <w:ind w:left="0" w:firstLine="709"/>
        <w:jc w:val="both"/>
        <w:rPr>
          <w:rFonts w:ascii="Arial" w:hAnsi="Arial" w:cs="Arial"/>
          <w:b/>
          <w:sz w:val="16"/>
          <w:szCs w:val="16"/>
          <w:lang w:val="en-US"/>
        </w:rPr>
      </w:pPr>
    </w:p>
    <w:p w:rsidR="009A2652" w:rsidRDefault="009A2652" w:rsidP="009A2652">
      <w:pPr>
        <w:pStyle w:val="Paragrafoelenco1"/>
        <w:numPr>
          <w:ilvl w:val="0"/>
          <w:numId w:val="7"/>
        </w:numPr>
        <w:spacing w:after="0" w:line="288" w:lineRule="auto"/>
        <w:ind w:left="0"/>
        <w:jc w:val="both"/>
        <w:rPr>
          <w:rFonts w:ascii="Arial" w:hAnsi="Arial" w:cs="Arial"/>
          <w:sz w:val="16"/>
          <w:szCs w:val="16"/>
          <w:lang w:val="en-US"/>
        </w:rPr>
      </w:pPr>
      <w:proofErr w:type="spellStart"/>
      <w:r>
        <w:rPr>
          <w:rFonts w:ascii="Arial" w:hAnsi="Arial" w:cs="Arial"/>
          <w:sz w:val="16"/>
          <w:szCs w:val="16"/>
          <w:lang w:val="en-US"/>
        </w:rPr>
        <w:t>Becchetti</w:t>
      </w:r>
      <w:proofErr w:type="spellEnd"/>
      <w:r>
        <w:rPr>
          <w:rFonts w:ascii="Arial" w:hAnsi="Arial" w:cs="Arial"/>
          <w:sz w:val="16"/>
          <w:szCs w:val="16"/>
          <w:lang w:val="en-US"/>
        </w:rPr>
        <w:t xml:space="preserve"> L., </w:t>
      </w:r>
      <w:proofErr w:type="spellStart"/>
      <w:r>
        <w:rPr>
          <w:rFonts w:ascii="Arial" w:hAnsi="Arial" w:cs="Arial"/>
          <w:sz w:val="16"/>
          <w:szCs w:val="16"/>
          <w:lang w:val="en-US"/>
        </w:rPr>
        <w:t>Castriota</w:t>
      </w:r>
      <w:proofErr w:type="spellEnd"/>
      <w:r>
        <w:rPr>
          <w:rFonts w:ascii="Arial" w:hAnsi="Arial" w:cs="Arial"/>
          <w:sz w:val="16"/>
          <w:szCs w:val="16"/>
          <w:lang w:val="en-US"/>
        </w:rPr>
        <w:t xml:space="preserve"> S., </w:t>
      </w:r>
      <w:proofErr w:type="spellStart"/>
      <w:r>
        <w:rPr>
          <w:rFonts w:ascii="Arial" w:hAnsi="Arial" w:cs="Arial"/>
          <w:sz w:val="16"/>
          <w:szCs w:val="16"/>
          <w:lang w:val="en-US"/>
        </w:rPr>
        <w:t>Giuntella</w:t>
      </w:r>
      <w:proofErr w:type="spellEnd"/>
      <w:r>
        <w:rPr>
          <w:rFonts w:ascii="Arial" w:hAnsi="Arial" w:cs="Arial"/>
          <w:sz w:val="16"/>
          <w:szCs w:val="16"/>
          <w:lang w:val="en-US"/>
        </w:rPr>
        <w:t xml:space="preserve"> O. (2010), “The Effects of Age and Job Protection on the Welfare Costs of Inflation and Unemployment”, European Journal of Political Economy, Vol. 26, pp. 137-146. </w:t>
      </w:r>
    </w:p>
    <w:p w:rsidR="009A2652" w:rsidRDefault="009A2652" w:rsidP="009A2652">
      <w:pPr>
        <w:pStyle w:val="Paragrafoelenco1"/>
        <w:spacing w:after="0" w:line="288" w:lineRule="auto"/>
        <w:ind w:left="0"/>
        <w:jc w:val="both"/>
        <w:rPr>
          <w:rFonts w:ascii="Arial" w:hAnsi="Arial" w:cs="Arial"/>
          <w:sz w:val="16"/>
          <w:szCs w:val="16"/>
          <w:lang w:val="en-US"/>
        </w:rPr>
      </w:pPr>
    </w:p>
    <w:p w:rsidR="009A2652" w:rsidRDefault="009A2652" w:rsidP="009A2652">
      <w:pPr>
        <w:pStyle w:val="Paragrafoelenco1"/>
        <w:numPr>
          <w:ilvl w:val="0"/>
          <w:numId w:val="7"/>
        </w:numPr>
        <w:spacing w:after="0" w:line="288" w:lineRule="auto"/>
        <w:ind w:left="0"/>
        <w:jc w:val="both"/>
        <w:rPr>
          <w:rFonts w:ascii="Arial" w:hAnsi="Arial" w:cs="Arial"/>
          <w:sz w:val="16"/>
          <w:szCs w:val="16"/>
          <w:lang w:val="en-US"/>
        </w:rPr>
      </w:pPr>
      <w:r>
        <w:rPr>
          <w:rFonts w:ascii="Arial" w:hAnsi="Arial" w:cs="Arial"/>
          <w:sz w:val="16"/>
          <w:szCs w:val="16"/>
          <w:lang w:val="en-US"/>
        </w:rPr>
        <w:t xml:space="preserve">Di </w:t>
      </w:r>
      <w:proofErr w:type="spellStart"/>
      <w:r>
        <w:rPr>
          <w:rFonts w:ascii="Arial" w:hAnsi="Arial" w:cs="Arial"/>
          <w:sz w:val="16"/>
          <w:szCs w:val="16"/>
          <w:lang w:val="en-US"/>
        </w:rPr>
        <w:t>Tella</w:t>
      </w:r>
      <w:proofErr w:type="spellEnd"/>
      <w:r>
        <w:rPr>
          <w:rFonts w:ascii="Arial" w:hAnsi="Arial" w:cs="Arial"/>
          <w:sz w:val="16"/>
          <w:szCs w:val="16"/>
          <w:lang w:val="en-US"/>
        </w:rPr>
        <w:t xml:space="preserve"> R., </w:t>
      </w:r>
      <w:proofErr w:type="spellStart"/>
      <w:r>
        <w:rPr>
          <w:rFonts w:ascii="Arial" w:hAnsi="Arial" w:cs="Arial"/>
          <w:sz w:val="16"/>
          <w:szCs w:val="16"/>
          <w:lang w:val="en-US"/>
        </w:rPr>
        <w:t>MacCulloch</w:t>
      </w:r>
      <w:proofErr w:type="spellEnd"/>
      <w:r>
        <w:rPr>
          <w:rFonts w:ascii="Arial" w:hAnsi="Arial" w:cs="Arial"/>
          <w:sz w:val="16"/>
          <w:szCs w:val="16"/>
          <w:lang w:val="en-US"/>
        </w:rPr>
        <w:t xml:space="preserve"> R., Oswald A. (2001), “Preferences over Inflation and Unemployment: Evidence from Surveys of Happiness”, American Economic Review, Vol. 91, pp. 335-341.</w:t>
      </w:r>
    </w:p>
    <w:p w:rsidR="00E66F45" w:rsidRPr="009A2652" w:rsidRDefault="00E66F45" w:rsidP="00B332B8">
      <w:pPr>
        <w:pStyle w:val="Corpodeltesto2"/>
        <w:ind w:right="565"/>
        <w:jc w:val="both"/>
        <w:rPr>
          <w:rFonts w:ascii="Verdana" w:hAnsi="Verdana"/>
          <w:b w:val="0"/>
          <w:bCs w:val="0"/>
          <w:sz w:val="20"/>
          <w:szCs w:val="20"/>
          <w:lang w:val="en-US"/>
        </w:rPr>
      </w:pPr>
    </w:p>
    <w:p w:rsidR="00E66F45" w:rsidRPr="009A2652" w:rsidRDefault="00E66F45" w:rsidP="00B332B8">
      <w:pPr>
        <w:pStyle w:val="Corpodeltesto2"/>
        <w:ind w:right="565"/>
        <w:jc w:val="both"/>
        <w:rPr>
          <w:rFonts w:ascii="Verdana" w:hAnsi="Verdana"/>
          <w:b w:val="0"/>
          <w:bCs w:val="0"/>
          <w:sz w:val="20"/>
          <w:szCs w:val="20"/>
          <w:lang w:val="en-US"/>
        </w:rPr>
      </w:pPr>
    </w:p>
    <w:sectPr w:rsidR="00E66F45" w:rsidRPr="009A2652" w:rsidSect="003132BF">
      <w:footerReference w:type="even" r:id="rId10"/>
      <w:footerReference w:type="default" r:id="rId11"/>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91" w:rsidRDefault="00056791">
      <w:r>
        <w:separator/>
      </w:r>
    </w:p>
  </w:endnote>
  <w:endnote w:type="continuationSeparator" w:id="0">
    <w:p w:rsidR="00056791" w:rsidRDefault="000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91" w:rsidRDefault="000567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6791" w:rsidRDefault="000567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91" w:rsidRDefault="00056791">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9C6C39">
      <w:rPr>
        <w:rStyle w:val="Numeropagina"/>
        <w:noProof/>
        <w:sz w:val="18"/>
      </w:rPr>
      <w:t>2</w:t>
    </w:r>
    <w:r>
      <w:rPr>
        <w:rStyle w:val="Numeropagina"/>
        <w:sz w:val="18"/>
      </w:rPr>
      <w:fldChar w:fldCharType="end"/>
    </w:r>
  </w:p>
  <w:p w:rsidR="00056791" w:rsidRPr="00421D14" w:rsidRDefault="00056791">
    <w:pPr>
      <w:pStyle w:val="Pidipagina"/>
      <w:ind w:right="360"/>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91" w:rsidRDefault="00056791">
      <w:r>
        <w:separator/>
      </w:r>
    </w:p>
  </w:footnote>
  <w:footnote w:type="continuationSeparator" w:id="0">
    <w:p w:rsidR="00056791" w:rsidRDefault="0005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D212AA6"/>
    <w:multiLevelType w:val="hybridMultilevel"/>
    <w:tmpl w:val="D9ECD786"/>
    <w:lvl w:ilvl="0" w:tplc="C32E4740">
      <w:start w:val="1"/>
      <w:numFmt w:val="decimal"/>
      <w:lvlText w:val="%1."/>
      <w:lvlJc w:val="left"/>
      <w:pPr>
        <w:ind w:left="1429"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21B19"/>
    <w:rsid w:val="00027A06"/>
    <w:rsid w:val="0003230A"/>
    <w:rsid w:val="000474A3"/>
    <w:rsid w:val="00056791"/>
    <w:rsid w:val="000613AC"/>
    <w:rsid w:val="00071189"/>
    <w:rsid w:val="00071F8A"/>
    <w:rsid w:val="000779B6"/>
    <w:rsid w:val="0008151E"/>
    <w:rsid w:val="0009565E"/>
    <w:rsid w:val="000A561C"/>
    <w:rsid w:val="000A5AA1"/>
    <w:rsid w:val="000C40F0"/>
    <w:rsid w:val="00100C9E"/>
    <w:rsid w:val="0010460A"/>
    <w:rsid w:val="00107095"/>
    <w:rsid w:val="001077AC"/>
    <w:rsid w:val="00107CB3"/>
    <w:rsid w:val="001154D4"/>
    <w:rsid w:val="00122B70"/>
    <w:rsid w:val="001445F3"/>
    <w:rsid w:val="00155176"/>
    <w:rsid w:val="00160661"/>
    <w:rsid w:val="001836B8"/>
    <w:rsid w:val="00184971"/>
    <w:rsid w:val="00185147"/>
    <w:rsid w:val="001B187A"/>
    <w:rsid w:val="001C257D"/>
    <w:rsid w:val="001D44CD"/>
    <w:rsid w:val="001D7312"/>
    <w:rsid w:val="001E7213"/>
    <w:rsid w:val="001F1F60"/>
    <w:rsid w:val="001F5736"/>
    <w:rsid w:val="00207FB3"/>
    <w:rsid w:val="00230563"/>
    <w:rsid w:val="00234503"/>
    <w:rsid w:val="00244867"/>
    <w:rsid w:val="00264AB9"/>
    <w:rsid w:val="00270C99"/>
    <w:rsid w:val="00284D54"/>
    <w:rsid w:val="002A7E49"/>
    <w:rsid w:val="002B638E"/>
    <w:rsid w:val="002E4040"/>
    <w:rsid w:val="002E7967"/>
    <w:rsid w:val="00305509"/>
    <w:rsid w:val="003132BF"/>
    <w:rsid w:val="00314B8B"/>
    <w:rsid w:val="00315EE4"/>
    <w:rsid w:val="00330605"/>
    <w:rsid w:val="00355A9D"/>
    <w:rsid w:val="00363CB5"/>
    <w:rsid w:val="00372EE8"/>
    <w:rsid w:val="003850FD"/>
    <w:rsid w:val="00385EBF"/>
    <w:rsid w:val="00394728"/>
    <w:rsid w:val="00394B9C"/>
    <w:rsid w:val="003B20A7"/>
    <w:rsid w:val="003C26C0"/>
    <w:rsid w:val="003C2F61"/>
    <w:rsid w:val="003C3259"/>
    <w:rsid w:val="003C53B4"/>
    <w:rsid w:val="003D35B8"/>
    <w:rsid w:val="003E23E8"/>
    <w:rsid w:val="00416E0F"/>
    <w:rsid w:val="00421D14"/>
    <w:rsid w:val="00424437"/>
    <w:rsid w:val="00435DB9"/>
    <w:rsid w:val="004418EB"/>
    <w:rsid w:val="0044362E"/>
    <w:rsid w:val="00457D77"/>
    <w:rsid w:val="00460FE4"/>
    <w:rsid w:val="004622BA"/>
    <w:rsid w:val="0046338C"/>
    <w:rsid w:val="00494724"/>
    <w:rsid w:val="004D2E8A"/>
    <w:rsid w:val="004D4B84"/>
    <w:rsid w:val="004E49CD"/>
    <w:rsid w:val="00526C01"/>
    <w:rsid w:val="005335F9"/>
    <w:rsid w:val="00535165"/>
    <w:rsid w:val="005375E5"/>
    <w:rsid w:val="005539E5"/>
    <w:rsid w:val="00560AD1"/>
    <w:rsid w:val="0057577B"/>
    <w:rsid w:val="005A54D8"/>
    <w:rsid w:val="005B378F"/>
    <w:rsid w:val="005B6799"/>
    <w:rsid w:val="005D4495"/>
    <w:rsid w:val="005D75F1"/>
    <w:rsid w:val="005E4CDB"/>
    <w:rsid w:val="005F4654"/>
    <w:rsid w:val="005F5A73"/>
    <w:rsid w:val="00601026"/>
    <w:rsid w:val="00606A0F"/>
    <w:rsid w:val="00611BEE"/>
    <w:rsid w:val="006213EA"/>
    <w:rsid w:val="00682BFB"/>
    <w:rsid w:val="00685FEA"/>
    <w:rsid w:val="006A294E"/>
    <w:rsid w:val="006A5875"/>
    <w:rsid w:val="006C1A5A"/>
    <w:rsid w:val="006D0554"/>
    <w:rsid w:val="006D53F8"/>
    <w:rsid w:val="006E557C"/>
    <w:rsid w:val="006F62EA"/>
    <w:rsid w:val="006F7643"/>
    <w:rsid w:val="00700854"/>
    <w:rsid w:val="0070364F"/>
    <w:rsid w:val="007120EA"/>
    <w:rsid w:val="007252DD"/>
    <w:rsid w:val="007320AC"/>
    <w:rsid w:val="00742DD6"/>
    <w:rsid w:val="00780D99"/>
    <w:rsid w:val="007A4912"/>
    <w:rsid w:val="007B37B5"/>
    <w:rsid w:val="007C6AFF"/>
    <w:rsid w:val="007D4469"/>
    <w:rsid w:val="007E7968"/>
    <w:rsid w:val="008022C0"/>
    <w:rsid w:val="008321C2"/>
    <w:rsid w:val="008611A6"/>
    <w:rsid w:val="00873EE1"/>
    <w:rsid w:val="0089178A"/>
    <w:rsid w:val="008978CC"/>
    <w:rsid w:val="008A45FD"/>
    <w:rsid w:val="008B2B94"/>
    <w:rsid w:val="00921713"/>
    <w:rsid w:val="0093735A"/>
    <w:rsid w:val="00940D75"/>
    <w:rsid w:val="00975F75"/>
    <w:rsid w:val="00976624"/>
    <w:rsid w:val="00980DAB"/>
    <w:rsid w:val="009A0FFC"/>
    <w:rsid w:val="009A2652"/>
    <w:rsid w:val="009C584B"/>
    <w:rsid w:val="009C5B01"/>
    <w:rsid w:val="009C6C39"/>
    <w:rsid w:val="009D24CF"/>
    <w:rsid w:val="00A2129C"/>
    <w:rsid w:val="00A37760"/>
    <w:rsid w:val="00A414A4"/>
    <w:rsid w:val="00A45811"/>
    <w:rsid w:val="00A611A8"/>
    <w:rsid w:val="00A61F34"/>
    <w:rsid w:val="00A72B40"/>
    <w:rsid w:val="00AA4C3E"/>
    <w:rsid w:val="00AB598B"/>
    <w:rsid w:val="00AB60C9"/>
    <w:rsid w:val="00AD2706"/>
    <w:rsid w:val="00AE35E3"/>
    <w:rsid w:val="00AE6062"/>
    <w:rsid w:val="00AF519D"/>
    <w:rsid w:val="00B07F28"/>
    <w:rsid w:val="00B332B8"/>
    <w:rsid w:val="00B34ADD"/>
    <w:rsid w:val="00B424E6"/>
    <w:rsid w:val="00B657C5"/>
    <w:rsid w:val="00B779E3"/>
    <w:rsid w:val="00B81AC4"/>
    <w:rsid w:val="00B86083"/>
    <w:rsid w:val="00BB5453"/>
    <w:rsid w:val="00BC3780"/>
    <w:rsid w:val="00BF001C"/>
    <w:rsid w:val="00BF5B15"/>
    <w:rsid w:val="00C05F9F"/>
    <w:rsid w:val="00C27DA3"/>
    <w:rsid w:val="00C427C2"/>
    <w:rsid w:val="00C475A0"/>
    <w:rsid w:val="00C538E7"/>
    <w:rsid w:val="00C55BA5"/>
    <w:rsid w:val="00C64365"/>
    <w:rsid w:val="00C717E1"/>
    <w:rsid w:val="00C97692"/>
    <w:rsid w:val="00CB17DF"/>
    <w:rsid w:val="00CB77C0"/>
    <w:rsid w:val="00CC1E62"/>
    <w:rsid w:val="00CD2B90"/>
    <w:rsid w:val="00CD36EE"/>
    <w:rsid w:val="00CF0339"/>
    <w:rsid w:val="00CF3B31"/>
    <w:rsid w:val="00D15EE1"/>
    <w:rsid w:val="00D2291E"/>
    <w:rsid w:val="00D264F0"/>
    <w:rsid w:val="00D56621"/>
    <w:rsid w:val="00D70BB1"/>
    <w:rsid w:val="00D712E6"/>
    <w:rsid w:val="00D76096"/>
    <w:rsid w:val="00D9151F"/>
    <w:rsid w:val="00DB0765"/>
    <w:rsid w:val="00DB6E79"/>
    <w:rsid w:val="00DC29F7"/>
    <w:rsid w:val="00DC2DDC"/>
    <w:rsid w:val="00DC4779"/>
    <w:rsid w:val="00DD47BE"/>
    <w:rsid w:val="00DE3DE1"/>
    <w:rsid w:val="00DF7C59"/>
    <w:rsid w:val="00E10C28"/>
    <w:rsid w:val="00E11657"/>
    <w:rsid w:val="00E12AC0"/>
    <w:rsid w:val="00E261D7"/>
    <w:rsid w:val="00E30D12"/>
    <w:rsid w:val="00E42317"/>
    <w:rsid w:val="00E50358"/>
    <w:rsid w:val="00E66EC0"/>
    <w:rsid w:val="00E66F45"/>
    <w:rsid w:val="00E7255B"/>
    <w:rsid w:val="00EA1226"/>
    <w:rsid w:val="00EB33C0"/>
    <w:rsid w:val="00EB5A1C"/>
    <w:rsid w:val="00EC15D0"/>
    <w:rsid w:val="00EC6316"/>
    <w:rsid w:val="00EF3725"/>
    <w:rsid w:val="00F05050"/>
    <w:rsid w:val="00F11A2C"/>
    <w:rsid w:val="00F20A55"/>
    <w:rsid w:val="00F21E3E"/>
    <w:rsid w:val="00F23A9E"/>
    <w:rsid w:val="00F3572B"/>
    <w:rsid w:val="00F35806"/>
    <w:rsid w:val="00F446A9"/>
    <w:rsid w:val="00F52D53"/>
    <w:rsid w:val="00F53207"/>
    <w:rsid w:val="00F62835"/>
    <w:rsid w:val="00F8461A"/>
    <w:rsid w:val="00F91040"/>
    <w:rsid w:val="00F978CB"/>
    <w:rsid w:val="00FB4E4B"/>
    <w:rsid w:val="00FC3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uiPriority w:val="99"/>
    <w:semiHidden/>
    <w:rsid w:val="009A2652"/>
    <w:rPr>
      <w:rFonts w:ascii="Times New Roman" w:eastAsia="Times New Roman" w:hAnsi="Times New Roman"/>
    </w:rPr>
  </w:style>
  <w:style w:type="paragraph" w:customStyle="1" w:styleId="Paragrafoelenco1">
    <w:name w:val="Paragrafo elenco1"/>
    <w:basedOn w:val="Normale"/>
    <w:rsid w:val="009A2652"/>
    <w:pPr>
      <w:spacing w:after="200" w:line="276" w:lineRule="auto"/>
      <w:ind w:left="720"/>
      <w:contextualSpacing/>
    </w:pPr>
    <w:rPr>
      <w:rFonts w:ascii="Calibri" w:eastAsia="Times New Roman" w:hAnsi="Calibri"/>
      <w:sz w:val="22"/>
      <w:szCs w:val="22"/>
      <w:lang w:eastAsia="en-US"/>
    </w:rPr>
  </w:style>
  <w:style w:type="paragraph" w:styleId="Paragrafoelenco">
    <w:name w:val="List Paragraph"/>
    <w:basedOn w:val="Normale"/>
    <w:uiPriority w:val="34"/>
    <w:qFormat/>
    <w:rsid w:val="000567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uiPriority w:val="99"/>
    <w:semiHidden/>
    <w:rsid w:val="009A2652"/>
    <w:rPr>
      <w:rFonts w:ascii="Times New Roman" w:eastAsia="Times New Roman" w:hAnsi="Times New Roman"/>
    </w:rPr>
  </w:style>
  <w:style w:type="paragraph" w:customStyle="1" w:styleId="Paragrafoelenco1">
    <w:name w:val="Paragrafo elenco1"/>
    <w:basedOn w:val="Normale"/>
    <w:rsid w:val="009A2652"/>
    <w:pPr>
      <w:spacing w:after="200" w:line="276" w:lineRule="auto"/>
      <w:ind w:left="720"/>
      <w:contextualSpacing/>
    </w:pPr>
    <w:rPr>
      <w:rFonts w:ascii="Calibri" w:eastAsia="Times New Roman" w:hAnsi="Calibri"/>
      <w:sz w:val="22"/>
      <w:szCs w:val="22"/>
      <w:lang w:eastAsia="en-US"/>
    </w:rPr>
  </w:style>
  <w:style w:type="paragraph" w:styleId="Paragrafoelenco">
    <w:name w:val="List Paragraph"/>
    <w:basedOn w:val="Normale"/>
    <w:uiPriority w:val="34"/>
    <w:qFormat/>
    <w:rsid w:val="000567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62739">
      <w:bodyDiv w:val="1"/>
      <w:marLeft w:val="0"/>
      <w:marRight w:val="0"/>
      <w:marTop w:val="0"/>
      <w:marBottom w:val="0"/>
      <w:divBdr>
        <w:top w:val="none" w:sz="0" w:space="0" w:color="auto"/>
        <w:left w:val="none" w:sz="0" w:space="0" w:color="auto"/>
        <w:bottom w:val="none" w:sz="0" w:space="0" w:color="auto"/>
        <w:right w:val="none" w:sz="0" w:space="0" w:color="auto"/>
      </w:divBdr>
    </w:div>
    <w:div w:id="12404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triota\Documents\MIC\MIC_2014_1_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840180924623298E-2"/>
          <c:y val="3.0459627093043552E-2"/>
          <c:w val="0.90684497960287225"/>
          <c:h val="0.84244387299250145"/>
        </c:manualLayout>
      </c:layout>
      <c:areaChart>
        <c:grouping val="stacked"/>
        <c:varyColors val="0"/>
        <c:ser>
          <c:idx val="0"/>
          <c:order val="0"/>
          <c:tx>
            <c:strRef>
              <c:f>'Figura 1'!$E$1</c:f>
              <c:strCache>
                <c:ptCount val="1"/>
                <c:pt idx="0">
                  <c:v>MIC-DISOCC.</c:v>
                </c:pt>
              </c:strCache>
            </c:strRef>
          </c:tx>
          <c:cat>
            <c:strRef>
              <c:f>'Figura 1'!$C$2:$C$84</c:f>
              <c:strCache>
                <c:ptCount val="83"/>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pt idx="81">
                  <c:v>2013-10</c:v>
                </c:pt>
                <c:pt idx="82">
                  <c:v>2013-11</c:v>
                </c:pt>
              </c:strCache>
            </c:strRef>
          </c:cat>
          <c:val>
            <c:numRef>
              <c:f>'Figura 1'!$E$2:$E$84</c:f>
              <c:numCache>
                <c:formatCode>0.00</c:formatCode>
                <c:ptCount val="83"/>
                <c:pt idx="0">
                  <c:v>9.6962614087119725</c:v>
                </c:pt>
                <c:pt idx="1">
                  <c:v>9.4346295525939166</c:v>
                </c:pt>
                <c:pt idx="2">
                  <c:v>9.4567750775637016</c:v>
                </c:pt>
                <c:pt idx="3">
                  <c:v>9.3608129893817296</c:v>
                </c:pt>
                <c:pt idx="4">
                  <c:v>9.6775254079799709</c:v>
                </c:pt>
                <c:pt idx="5">
                  <c:v>9.6119842723830651</c:v>
                </c:pt>
                <c:pt idx="6">
                  <c:v>10.210921080661924</c:v>
                </c:pt>
                <c:pt idx="7">
                  <c:v>10.151596605807747</c:v>
                </c:pt>
                <c:pt idx="8">
                  <c:v>10.381082827294151</c:v>
                </c:pt>
                <c:pt idx="9">
                  <c:v>10.355532937195635</c:v>
                </c:pt>
                <c:pt idx="10">
                  <c:v>10.115240344971363</c:v>
                </c:pt>
                <c:pt idx="11">
                  <c:v>10.480763667829024</c:v>
                </c:pt>
                <c:pt idx="12">
                  <c:v>10.366075909859926</c:v>
                </c:pt>
                <c:pt idx="13">
                  <c:v>10.490112572586531</c:v>
                </c:pt>
                <c:pt idx="14">
                  <c:v>10.321007224020802</c:v>
                </c:pt>
                <c:pt idx="15">
                  <c:v>10.832405904581897</c:v>
                </c:pt>
                <c:pt idx="16">
                  <c:v>10.760361170411198</c:v>
                </c:pt>
                <c:pt idx="17">
                  <c:v>11.085958202851806</c:v>
                </c:pt>
                <c:pt idx="18">
                  <c:v>10.976394530260743</c:v>
                </c:pt>
                <c:pt idx="19">
                  <c:v>11.471216857462277</c:v>
                </c:pt>
                <c:pt idx="20">
                  <c:v>11.472976231752556</c:v>
                </c:pt>
                <c:pt idx="21">
                  <c:v>11.400940321498828</c:v>
                </c:pt>
                <c:pt idx="22">
                  <c:v>11.535641686258048</c:v>
                </c:pt>
                <c:pt idx="23">
                  <c:v>11.297982448206144</c:v>
                </c:pt>
                <c:pt idx="24">
                  <c:v>11.83521466118075</c:v>
                </c:pt>
                <c:pt idx="25">
                  <c:v>12.08291231720221</c:v>
                </c:pt>
                <c:pt idx="26">
                  <c:v>12.689861264133615</c:v>
                </c:pt>
                <c:pt idx="27">
                  <c:v>12.716474761719088</c:v>
                </c:pt>
                <c:pt idx="28">
                  <c:v>12.946179911512175</c:v>
                </c:pt>
                <c:pt idx="29">
                  <c:v>13.386222411180267</c:v>
                </c:pt>
                <c:pt idx="30">
                  <c:v>13.911208937792633</c:v>
                </c:pt>
                <c:pt idx="31">
                  <c:v>14.292903632312612</c:v>
                </c:pt>
                <c:pt idx="32">
                  <c:v>14.806686849576138</c:v>
                </c:pt>
                <c:pt idx="33">
                  <c:v>14.560563122869731</c:v>
                </c:pt>
                <c:pt idx="34">
                  <c:v>14.59982374615573</c:v>
                </c:pt>
                <c:pt idx="35">
                  <c:v>14.708214044551955</c:v>
                </c:pt>
                <c:pt idx="36">
                  <c:v>14.800844035856944</c:v>
                </c:pt>
                <c:pt idx="37">
                  <c:v>14.896241726853765</c:v>
                </c:pt>
                <c:pt idx="38">
                  <c:v>14.733155991247834</c:v>
                </c:pt>
                <c:pt idx="39">
                  <c:v>14.879038219928905</c:v>
                </c:pt>
                <c:pt idx="40">
                  <c:v>14.683618593461512</c:v>
                </c:pt>
                <c:pt idx="41">
                  <c:v>14.312669577673686</c:v>
                </c:pt>
                <c:pt idx="42">
                  <c:v>14.617924600189403</c:v>
                </c:pt>
                <c:pt idx="43">
                  <c:v>14.810745215408987</c:v>
                </c:pt>
                <c:pt idx="44">
                  <c:v>14.920839038779189</c:v>
                </c:pt>
                <c:pt idx="45">
                  <c:v>14.984742312569344</c:v>
                </c:pt>
                <c:pt idx="46">
                  <c:v>14.406412108398493</c:v>
                </c:pt>
                <c:pt idx="47">
                  <c:v>14.134222274651313</c:v>
                </c:pt>
                <c:pt idx="48">
                  <c:v>13.942231942184806</c:v>
                </c:pt>
                <c:pt idx="49">
                  <c:v>13.790440387314998</c:v>
                </c:pt>
                <c:pt idx="50">
                  <c:v>13.868816851290489</c:v>
                </c:pt>
                <c:pt idx="51">
                  <c:v>13.618766278228525</c:v>
                </c:pt>
                <c:pt idx="52">
                  <c:v>13.920707787861835</c:v>
                </c:pt>
                <c:pt idx="53">
                  <c:v>13.765944187287426</c:v>
                </c:pt>
                <c:pt idx="54">
                  <c:v>14.395784215008451</c:v>
                </c:pt>
                <c:pt idx="55">
                  <c:v>14.862544020238836</c:v>
                </c:pt>
                <c:pt idx="56">
                  <c:v>15.638114504526751</c:v>
                </c:pt>
                <c:pt idx="57">
                  <c:v>15.462640696545128</c:v>
                </c:pt>
                <c:pt idx="58">
                  <c:v>15.972300585058177</c:v>
                </c:pt>
                <c:pt idx="59">
                  <c:v>16.013729104216782</c:v>
                </c:pt>
                <c:pt idx="60">
                  <c:v>16.152042757112905</c:v>
                </c:pt>
                <c:pt idx="61">
                  <c:v>16.798142864338843</c:v>
                </c:pt>
                <c:pt idx="62">
                  <c:v>17.304352285059416</c:v>
                </c:pt>
                <c:pt idx="63">
                  <c:v>17.54583451742063</c:v>
                </c:pt>
                <c:pt idx="64">
                  <c:v>17.215740762046444</c:v>
                </c:pt>
                <c:pt idx="65">
                  <c:v>17.602587006288974</c:v>
                </c:pt>
                <c:pt idx="66">
                  <c:v>17.794568376926442</c:v>
                </c:pt>
                <c:pt idx="67">
                  <c:v>17.865505363902681</c:v>
                </c:pt>
                <c:pt idx="68">
                  <c:v>18.285741724554843</c:v>
                </c:pt>
                <c:pt idx="69">
                  <c:v>18.611562259661916</c:v>
                </c:pt>
                <c:pt idx="70">
                  <c:v>18.442942400055276</c:v>
                </c:pt>
                <c:pt idx="71">
                  <c:v>18.444451042526207</c:v>
                </c:pt>
                <c:pt idx="72">
                  <c:v>19.12126879184277</c:v>
                </c:pt>
                <c:pt idx="73">
                  <c:v>19.207131954136582</c:v>
                </c:pt>
                <c:pt idx="74">
                  <c:v>19.336608401062289</c:v>
                </c:pt>
                <c:pt idx="75">
                  <c:v>19.387259403672868</c:v>
                </c:pt>
                <c:pt idx="76">
                  <c:v>19.520166356475173</c:v>
                </c:pt>
                <c:pt idx="77">
                  <c:v>19.40123469839045</c:v>
                </c:pt>
                <c:pt idx="78">
                  <c:v>19.663250495187704</c:v>
                </c:pt>
                <c:pt idx="79">
                  <c:v>20.181865161512839</c:v>
                </c:pt>
                <c:pt idx="80">
                  <c:v>20.46116351421831</c:v>
                </c:pt>
                <c:pt idx="81">
                  <c:v>20.481137120519126</c:v>
                </c:pt>
                <c:pt idx="82">
                  <c:v>20.840493370301527</c:v>
                </c:pt>
              </c:numCache>
            </c:numRef>
          </c:val>
        </c:ser>
        <c:ser>
          <c:idx val="1"/>
          <c:order val="1"/>
          <c:tx>
            <c:strRef>
              <c:f>'Figura 1'!$F$1</c:f>
              <c:strCache>
                <c:ptCount val="1"/>
                <c:pt idx="0">
                  <c:v>MIC-INFL. AF</c:v>
                </c:pt>
              </c:strCache>
            </c:strRef>
          </c:tx>
          <c:cat>
            <c:strRef>
              <c:f>'Figura 1'!$C$2:$C$84</c:f>
              <c:strCache>
                <c:ptCount val="83"/>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pt idx="81">
                  <c:v>2013-10</c:v>
                </c:pt>
                <c:pt idx="82">
                  <c:v>2013-11</c:v>
                </c:pt>
              </c:strCache>
            </c:strRef>
          </c:cat>
          <c:val>
            <c:numRef>
              <c:f>'Figura 1'!$F$2:$F$84</c:f>
              <c:numCache>
                <c:formatCode>0.00</c:formatCode>
                <c:ptCount val="83"/>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numCache>
            </c:numRef>
          </c:val>
        </c:ser>
        <c:dLbls>
          <c:showLegendKey val="0"/>
          <c:showVal val="0"/>
          <c:showCatName val="0"/>
          <c:showSerName val="0"/>
          <c:showPercent val="0"/>
          <c:showBubbleSize val="0"/>
        </c:dLbls>
        <c:axId val="94053888"/>
        <c:axId val="94055424"/>
      </c:areaChart>
      <c:catAx>
        <c:axId val="94053888"/>
        <c:scaling>
          <c:orientation val="minMax"/>
        </c:scaling>
        <c:delete val="0"/>
        <c:axPos val="b"/>
        <c:majorTickMark val="out"/>
        <c:minorTickMark val="none"/>
        <c:tickLblPos val="nextTo"/>
        <c:txPr>
          <a:bodyPr rot="-5400000" vert="horz"/>
          <a:lstStyle/>
          <a:p>
            <a:pPr>
              <a:defRPr/>
            </a:pPr>
            <a:endParaRPr lang="it-IT"/>
          </a:p>
        </c:txPr>
        <c:crossAx val="94055424"/>
        <c:crosses val="autoZero"/>
        <c:auto val="1"/>
        <c:lblAlgn val="ctr"/>
        <c:lblOffset val="100"/>
        <c:noMultiLvlLbl val="0"/>
      </c:catAx>
      <c:valAx>
        <c:axId val="94055424"/>
        <c:scaling>
          <c:orientation val="minMax"/>
          <c:max val="23"/>
          <c:min val="0"/>
        </c:scaling>
        <c:delete val="0"/>
        <c:axPos val="l"/>
        <c:numFmt formatCode="0" sourceLinked="0"/>
        <c:majorTickMark val="out"/>
        <c:minorTickMark val="none"/>
        <c:tickLblPos val="nextTo"/>
        <c:crossAx val="94053888"/>
        <c:crosses val="autoZero"/>
        <c:crossBetween val="midCat"/>
      </c:valAx>
    </c:plotArea>
    <c:legend>
      <c:legendPos val="r"/>
      <c:layout>
        <c:manualLayout>
          <c:xMode val="edge"/>
          <c:yMode val="edge"/>
          <c:x val="0.19054987736200019"/>
          <c:y val="9.64798243476548E-2"/>
          <c:w val="0.13100504396908771"/>
          <c:h val="9.9220503833970172E-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7BB2A9-3C4E-40BD-9CA4-128921E8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5511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6493</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2</cp:revision>
  <cp:lastPrinted>2013-12-04T14:11:00Z</cp:lastPrinted>
  <dcterms:created xsi:type="dcterms:W3CDTF">2014-01-10T08:23:00Z</dcterms:created>
  <dcterms:modified xsi:type="dcterms:W3CDTF">2014-01-10T08:23:00Z</dcterms:modified>
</cp:coreProperties>
</file>