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B8" w:rsidRDefault="00BD59B8" w:rsidP="00846072">
      <w:pPr>
        <w:spacing w:after="0" w:line="240" w:lineRule="auto"/>
        <w:jc w:val="right"/>
        <w:rPr>
          <w:rFonts w:ascii="Verdana" w:hAnsi="Verdana"/>
        </w:rPr>
      </w:pPr>
      <w:r>
        <w:rPr>
          <w:noProof/>
          <w:lang w:eastAsia="it-IT"/>
        </w:rPr>
        <w:drawing>
          <wp:anchor distT="0" distB="0" distL="114300" distR="114300" simplePos="0" relativeHeight="251659264" behindDoc="0" locked="0" layoutInCell="1" allowOverlap="1">
            <wp:simplePos x="0" y="0"/>
            <wp:positionH relativeFrom="column">
              <wp:posOffset>149225</wp:posOffset>
            </wp:positionH>
            <wp:positionV relativeFrom="paragraph">
              <wp:posOffset>-408940</wp:posOffset>
            </wp:positionV>
            <wp:extent cx="2400300" cy="1065530"/>
            <wp:effectExtent l="0" t="0" r="0" b="127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10A" w:rsidRDefault="00B0110A" w:rsidP="00BD59B8">
      <w:pPr>
        <w:spacing w:after="120"/>
        <w:jc w:val="both"/>
        <w:rPr>
          <w:rFonts w:ascii="Verdana" w:hAnsi="Verdana" w:cs="Arial"/>
          <w:sz w:val="20"/>
          <w:szCs w:val="20"/>
        </w:rPr>
      </w:pPr>
    </w:p>
    <w:p w:rsidR="0096170D" w:rsidRDefault="0096170D" w:rsidP="0096170D">
      <w:pPr>
        <w:pStyle w:val="Paragrafoelenco"/>
        <w:spacing w:after="120"/>
        <w:jc w:val="both"/>
        <w:rPr>
          <w:rFonts w:ascii="Arial" w:hAnsi="Arial" w:cs="Arial"/>
          <w:b/>
          <w:sz w:val="24"/>
          <w:szCs w:val="24"/>
        </w:rPr>
      </w:pPr>
    </w:p>
    <w:p w:rsidR="0096170D" w:rsidRDefault="00846072" w:rsidP="00D80CB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Sempre ad</w:t>
      </w:r>
      <w:bookmarkStart w:id="0" w:name="_GoBack"/>
      <w:bookmarkEnd w:id="0"/>
      <w:r w:rsidR="0096170D">
        <w:rPr>
          <w:rFonts w:ascii="Arial" w:hAnsi="Arial" w:cs="Arial"/>
          <w:color w:val="000000"/>
          <w:sz w:val="24"/>
          <w:szCs w:val="24"/>
        </w:rPr>
        <w:t xml:space="preserve"> ottobre il tasso di disoccupazione ufficiale è salito al record storico del 13,2% in aumento di tre decimi di punto rispetto a settembre e di nove decimi nei confronti dell’analogo mese del 2013. I disoccupati si sono attestati a 3 milioni 410mila unità (+90mila sul mese precedente e +286mila rispetto ad ottobre del 2013). Il numero di occupati è sceso di 55mila unità rispetto a settembre.</w:t>
      </w:r>
    </w:p>
    <w:p w:rsidR="0096170D" w:rsidRDefault="0096170D" w:rsidP="00D80CBC">
      <w:pPr>
        <w:autoSpaceDE w:val="0"/>
        <w:autoSpaceDN w:val="0"/>
        <w:adjustRightInd w:val="0"/>
        <w:spacing w:after="0" w:line="240" w:lineRule="auto"/>
        <w:jc w:val="both"/>
        <w:rPr>
          <w:rFonts w:ascii="Arial" w:hAnsi="Arial" w:cs="Arial"/>
          <w:sz w:val="24"/>
        </w:rPr>
      </w:pPr>
      <w:r>
        <w:rPr>
          <w:rFonts w:ascii="Arial" w:hAnsi="Arial" w:cs="Arial"/>
          <w:sz w:val="24"/>
        </w:rPr>
        <w:t>Nel mese di ottobre sono state autorizzate 118,2 milioni di ore di CIG</w:t>
      </w:r>
      <w:r>
        <w:rPr>
          <w:rStyle w:val="Rimandonotaapidipagina"/>
          <w:rFonts w:ascii="Arial" w:hAnsi="Arial" w:cs="Arial"/>
          <w:sz w:val="24"/>
        </w:rPr>
        <w:footnoteReference w:id="1"/>
      </w:r>
      <w:r>
        <w:rPr>
          <w:rFonts w:ascii="Arial" w:hAnsi="Arial" w:cs="Arial"/>
          <w:sz w:val="24"/>
        </w:rPr>
        <w:t xml:space="preserve">, in crescita rispetto ai 104,5 milioni circa di settembre e ai 99,1 milioni dello stesso mese del 2013. Le ore di CIG utilizzate </w:t>
      </w:r>
      <w:r>
        <w:rPr>
          <w:rFonts w:ascii="Arial" w:hAnsi="Arial" w:cs="Arial"/>
          <w:sz w:val="24"/>
          <w:szCs w:val="24"/>
        </w:rPr>
        <w:t>–</w:t>
      </w:r>
      <w:r>
        <w:rPr>
          <w:rFonts w:ascii="Arial" w:hAnsi="Arial" w:cs="Arial"/>
          <w:sz w:val="24"/>
        </w:rPr>
        <w:t xml:space="preserve"> destagionalizzate e </w:t>
      </w:r>
      <w:r>
        <w:rPr>
          <w:rFonts w:ascii="Arial" w:hAnsi="Arial" w:cs="Arial"/>
          <w:sz w:val="24"/>
          <w:szCs w:val="24"/>
        </w:rPr>
        <w:t>ricondotte poi a ULA – sono stimate in aumento di circa 9mila unità, il che porta il numero di persone in CIG dalle 297mila circa di settembre alle 306mila di ottobre.</w:t>
      </w:r>
    </w:p>
    <w:p w:rsidR="0096170D" w:rsidRDefault="0096170D" w:rsidP="00D80CBC">
      <w:pPr>
        <w:spacing w:after="0" w:line="240" w:lineRule="auto"/>
        <w:jc w:val="both"/>
        <w:rPr>
          <w:rFonts w:ascii="Arial" w:hAnsi="Arial" w:cs="Arial"/>
          <w:sz w:val="24"/>
          <w:szCs w:val="24"/>
        </w:rPr>
      </w:pPr>
      <w:r>
        <w:rPr>
          <w:rFonts w:ascii="Arial" w:hAnsi="Arial" w:cs="Arial"/>
          <w:sz w:val="24"/>
          <w:szCs w:val="24"/>
        </w:rPr>
        <w:t>Il numero di scoraggiati</w:t>
      </w:r>
      <w:r>
        <w:rPr>
          <w:rStyle w:val="Rimandonotaapidipagina"/>
          <w:rFonts w:ascii="Arial" w:hAnsi="Arial" w:cs="Arial"/>
          <w:sz w:val="24"/>
          <w:szCs w:val="24"/>
        </w:rPr>
        <w:footnoteReference w:id="2"/>
      </w:r>
      <w:r>
        <w:rPr>
          <w:rFonts w:ascii="Arial" w:hAnsi="Arial" w:cs="Arial"/>
          <w:sz w:val="24"/>
          <w:szCs w:val="24"/>
        </w:rPr>
        <w:t xml:space="preserve"> è stimato in crescita di 8mila unità portando, a ottobre, questa componente delle forze di lavoro potenziali a circa 881mila unità.</w:t>
      </w:r>
    </w:p>
    <w:p w:rsidR="0096170D" w:rsidRPr="00C646BA" w:rsidRDefault="0096170D" w:rsidP="00D80CBC">
      <w:pPr>
        <w:autoSpaceDE w:val="0"/>
        <w:autoSpaceDN w:val="0"/>
        <w:adjustRightInd w:val="0"/>
        <w:spacing w:after="0" w:line="240" w:lineRule="auto"/>
        <w:jc w:val="both"/>
        <w:rPr>
          <w:rFonts w:ascii="Arial" w:hAnsi="Arial" w:cs="Arial"/>
          <w:spacing w:val="-20"/>
          <w:sz w:val="24"/>
          <w:szCs w:val="24"/>
        </w:rPr>
      </w:pPr>
      <w:r>
        <w:rPr>
          <w:rFonts w:ascii="Arial" w:hAnsi="Arial" w:cs="Arial"/>
          <w:sz w:val="24"/>
          <w:szCs w:val="24"/>
        </w:rPr>
        <w:t xml:space="preserve">Ad ottobre l’incremento dei disoccupati, ufficiali e non, ha determinato un innalzamento di 0,3% percentuali del tasso di disoccupazione esteso </w:t>
      </w:r>
      <w:r w:rsidRPr="00C646BA">
        <w:rPr>
          <w:rFonts w:ascii="Arial" w:hAnsi="Arial" w:cs="Arial"/>
          <w:spacing w:val="-20"/>
          <w:sz w:val="24"/>
          <w:szCs w:val="24"/>
        </w:rPr>
        <w:t>salito al 17,2% (</w:t>
      </w:r>
      <w:proofErr w:type="spellStart"/>
      <w:r w:rsidRPr="00C646BA">
        <w:rPr>
          <w:rFonts w:ascii="Arial" w:hAnsi="Arial" w:cs="Arial"/>
          <w:spacing w:val="-20"/>
          <w:sz w:val="24"/>
          <w:szCs w:val="24"/>
        </w:rPr>
        <w:t>tab</w:t>
      </w:r>
      <w:proofErr w:type="spellEnd"/>
      <w:r w:rsidRPr="00C646BA">
        <w:rPr>
          <w:rFonts w:ascii="Arial" w:hAnsi="Arial" w:cs="Arial"/>
          <w:spacing w:val="-20"/>
          <w:sz w:val="24"/>
          <w:szCs w:val="24"/>
        </w:rPr>
        <w:t xml:space="preserve">. 1). </w:t>
      </w:r>
    </w:p>
    <w:p w:rsidR="0096170D" w:rsidRDefault="0096170D" w:rsidP="00D80C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Nello stesso mese l’inflazione dei beni e dei servizi ad alta frequenza è salita allo 0,1% (zero a settembre). </w:t>
      </w:r>
    </w:p>
    <w:p w:rsidR="0096170D" w:rsidRDefault="0096170D" w:rsidP="00D80CB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figura 1 mostra le due componenti del MIC (in rosso l’inflazione dei beni e servizi ad alta frequenza d’acquisto ed in blu la disoccupazione estesa), mentre l’ingrandimento riporta l’andamento complessivo del disagio sociale negli ultimi dieci mesi. Il deciso aumento realizzato nell’ultimo mese dall’area del disagio sociale riflette, come accaduto per gran parte del 2014, le tensioni esistenti sul versante della disoccupazione e le difficoltà del mercato del lavoro a produrre opportunità occupazionali. L’inflazione relativa ai beni e servizi ad alta frequenza ha</w:t>
      </w:r>
      <w:r w:rsidRPr="00C646BA">
        <w:rPr>
          <w:rFonts w:ascii="Arial" w:hAnsi="Arial" w:cs="Arial"/>
          <w:spacing w:val="-20"/>
          <w:sz w:val="24"/>
          <w:szCs w:val="24"/>
        </w:rPr>
        <w:t>, infatti, mostrato una tendenza</w:t>
      </w:r>
      <w:r>
        <w:rPr>
          <w:rFonts w:ascii="Arial" w:hAnsi="Arial" w:cs="Arial"/>
          <w:sz w:val="24"/>
          <w:szCs w:val="24"/>
        </w:rPr>
        <w:t xml:space="preserve"> al ridimensionamento, risultando, negli ultimi quattro mesi, sostanzialmente nulla. Per riportare il disagio sociale </w:t>
      </w:r>
      <w:r w:rsidRPr="00C646BA">
        <w:rPr>
          <w:rFonts w:ascii="Arial" w:hAnsi="Arial" w:cs="Arial"/>
          <w:spacing w:val="-20"/>
          <w:sz w:val="24"/>
          <w:szCs w:val="24"/>
        </w:rPr>
        <w:t xml:space="preserve">entro </w:t>
      </w:r>
      <w:r w:rsidRPr="00D80CBC">
        <w:rPr>
          <w:rFonts w:ascii="Arial" w:hAnsi="Arial" w:cs="Arial"/>
          <w:spacing w:val="-20"/>
          <w:sz w:val="24"/>
          <w:szCs w:val="24"/>
        </w:rPr>
        <w:t>conf</w:t>
      </w:r>
      <w:r w:rsidRPr="00233527">
        <w:rPr>
          <w:rFonts w:ascii="Arial" w:hAnsi="Arial" w:cs="Arial"/>
          <w:sz w:val="24"/>
          <w:szCs w:val="24"/>
        </w:rPr>
        <w:t>ini più</w:t>
      </w:r>
      <w:r w:rsidRPr="00D80CBC">
        <w:rPr>
          <w:rFonts w:ascii="Arial" w:hAnsi="Arial" w:cs="Arial"/>
          <w:spacing w:val="-20"/>
          <w:sz w:val="24"/>
          <w:szCs w:val="24"/>
        </w:rPr>
        <w:t xml:space="preserve"> ridotti</w:t>
      </w:r>
      <w:r w:rsidRPr="00C646BA">
        <w:rPr>
          <w:rFonts w:ascii="Arial" w:hAnsi="Arial" w:cs="Arial"/>
          <w:spacing w:val="-20"/>
          <w:sz w:val="24"/>
          <w:szCs w:val="24"/>
        </w:rPr>
        <w:t xml:space="preserve"> è quindi quanto mai</w:t>
      </w:r>
      <w:r>
        <w:rPr>
          <w:rFonts w:ascii="Arial" w:hAnsi="Arial" w:cs="Arial"/>
          <w:sz w:val="24"/>
          <w:szCs w:val="24"/>
        </w:rPr>
        <w:t xml:space="preserve"> necessario frenare l’espansione della disoccupazione. </w:t>
      </w:r>
    </w:p>
    <w:p w:rsidR="0096170D" w:rsidRDefault="0096170D" w:rsidP="0096170D">
      <w:pPr>
        <w:autoSpaceDE w:val="0"/>
        <w:autoSpaceDN w:val="0"/>
        <w:adjustRightInd w:val="0"/>
        <w:spacing w:after="0" w:line="240" w:lineRule="auto"/>
        <w:ind w:firstLine="709"/>
        <w:jc w:val="both"/>
        <w:rPr>
          <w:rFonts w:ascii="Arial" w:hAnsi="Arial" w:cs="Arial"/>
          <w:sz w:val="24"/>
          <w:szCs w:val="24"/>
        </w:rPr>
      </w:pPr>
    </w:p>
    <w:p w:rsidR="0096170D" w:rsidRDefault="0096170D" w:rsidP="0096170D">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Tabella 1: Prezzi, disoccupazione e Misery Index Confcommercio (MIC) in Italia</w:t>
      </w:r>
    </w:p>
    <w:tbl>
      <w:tblPr>
        <w:tblW w:w="7602" w:type="dxa"/>
        <w:jc w:val="center"/>
        <w:tblCellMar>
          <w:left w:w="70" w:type="dxa"/>
          <w:right w:w="70" w:type="dxa"/>
        </w:tblCellMar>
        <w:tblLook w:val="04A0" w:firstRow="1" w:lastRow="0" w:firstColumn="1" w:lastColumn="0" w:noHBand="0" w:noVBand="1"/>
      </w:tblPr>
      <w:tblGrid>
        <w:gridCol w:w="1634"/>
        <w:gridCol w:w="1492"/>
        <w:gridCol w:w="1492"/>
        <w:gridCol w:w="1492"/>
        <w:gridCol w:w="1492"/>
      </w:tblGrid>
      <w:tr w:rsidR="0096170D" w:rsidTr="007F312F">
        <w:trPr>
          <w:trHeight w:val="307"/>
          <w:jc w:val="center"/>
        </w:trPr>
        <w:tc>
          <w:tcPr>
            <w:tcW w:w="1634" w:type="dxa"/>
            <w:tcBorders>
              <w:top w:val="double" w:sz="4" w:space="0" w:color="auto"/>
              <w:left w:val="nil"/>
              <w:bottom w:val="single" w:sz="8" w:space="0" w:color="auto"/>
              <w:right w:val="nil"/>
            </w:tcBorders>
            <w:vAlign w:val="center"/>
            <w:hideMark/>
          </w:tcPr>
          <w:p w:rsidR="0096170D" w:rsidRDefault="0096170D">
            <w:pPr>
              <w:spacing w:after="0" w:line="300" w:lineRule="auto"/>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anno</w:t>
            </w:r>
          </w:p>
        </w:tc>
        <w:tc>
          <w:tcPr>
            <w:tcW w:w="1492" w:type="dxa"/>
            <w:tcBorders>
              <w:top w:val="double" w:sz="4" w:space="0" w:color="auto"/>
              <w:left w:val="nil"/>
              <w:bottom w:val="single" w:sz="8" w:space="0" w:color="auto"/>
              <w:right w:val="nil"/>
            </w:tcBorders>
            <w:vAlign w:val="center"/>
            <w:hideMark/>
          </w:tcPr>
          <w:p w:rsidR="0096170D" w:rsidRDefault="0096170D">
            <w:pPr>
              <w:spacing w:after="0" w:line="30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disoccupazione ufficiale (%)</w:t>
            </w:r>
          </w:p>
        </w:tc>
        <w:tc>
          <w:tcPr>
            <w:tcW w:w="1492" w:type="dxa"/>
            <w:tcBorders>
              <w:top w:val="double" w:sz="4" w:space="0" w:color="auto"/>
              <w:left w:val="nil"/>
              <w:bottom w:val="single" w:sz="8" w:space="0" w:color="auto"/>
              <w:right w:val="nil"/>
            </w:tcBorders>
            <w:vAlign w:val="center"/>
            <w:hideMark/>
          </w:tcPr>
          <w:p w:rsidR="0096170D" w:rsidRDefault="0096170D">
            <w:pPr>
              <w:spacing w:after="0" w:line="30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disoccupazione estesa (%) *</w:t>
            </w:r>
          </w:p>
        </w:tc>
        <w:tc>
          <w:tcPr>
            <w:tcW w:w="1492" w:type="dxa"/>
            <w:tcBorders>
              <w:top w:val="double" w:sz="4" w:space="0" w:color="auto"/>
              <w:left w:val="nil"/>
              <w:bottom w:val="single" w:sz="8" w:space="0" w:color="auto"/>
              <w:right w:val="nil"/>
            </w:tcBorders>
            <w:vAlign w:val="center"/>
            <w:hideMark/>
          </w:tcPr>
          <w:p w:rsidR="0096170D" w:rsidRDefault="0096170D">
            <w:pPr>
              <w:spacing w:after="0" w:line="30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Δ% prezzi-alta frequenza di acquisto</w:t>
            </w:r>
          </w:p>
        </w:tc>
        <w:tc>
          <w:tcPr>
            <w:tcW w:w="1492" w:type="dxa"/>
            <w:tcBorders>
              <w:top w:val="double" w:sz="4" w:space="0" w:color="auto"/>
              <w:left w:val="nil"/>
              <w:bottom w:val="single" w:sz="8" w:space="0" w:color="auto"/>
              <w:right w:val="nil"/>
            </w:tcBorders>
            <w:vAlign w:val="center"/>
            <w:hideMark/>
          </w:tcPr>
          <w:p w:rsidR="0096170D" w:rsidRDefault="0096170D">
            <w:pPr>
              <w:spacing w:after="0" w:line="30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MIC*</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2007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6,1</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7,9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12,0</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2008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6,8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8,7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4,9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14,6</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2009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7,8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10,7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14,1</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2010</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8,4</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11,6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2,0</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16,1</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2011</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8,4</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11,6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3,6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17,3</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2012</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10,7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14,0</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4,3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20,9</w:t>
            </w:r>
          </w:p>
        </w:tc>
      </w:tr>
      <w:tr w:rsidR="0096170D" w:rsidTr="007F312F">
        <w:trPr>
          <w:trHeight w:val="307"/>
          <w:jc w:val="center"/>
        </w:trPr>
        <w:tc>
          <w:tcPr>
            <w:tcW w:w="1634" w:type="dxa"/>
            <w:tcBorders>
              <w:top w:val="nil"/>
              <w:left w:val="nil"/>
              <w:bottom w:val="single" w:sz="4" w:space="0" w:color="auto"/>
              <w:right w:val="nil"/>
            </w:tcBorders>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2013</w:t>
            </w:r>
          </w:p>
        </w:tc>
        <w:tc>
          <w:tcPr>
            <w:tcW w:w="1492" w:type="dxa"/>
            <w:tcBorders>
              <w:top w:val="nil"/>
              <w:left w:val="nil"/>
              <w:bottom w:val="sing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12,2</w:t>
            </w:r>
          </w:p>
        </w:tc>
        <w:tc>
          <w:tcPr>
            <w:tcW w:w="1492" w:type="dxa"/>
            <w:tcBorders>
              <w:top w:val="nil"/>
              <w:left w:val="nil"/>
              <w:bottom w:val="sing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15,8</w:t>
            </w:r>
          </w:p>
        </w:tc>
        <w:tc>
          <w:tcPr>
            <w:tcW w:w="1492" w:type="dxa"/>
            <w:tcBorders>
              <w:top w:val="nil"/>
              <w:left w:val="nil"/>
              <w:bottom w:val="sing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w:t>
            </w:r>
          </w:p>
        </w:tc>
        <w:tc>
          <w:tcPr>
            <w:tcW w:w="1492" w:type="dxa"/>
            <w:tcBorders>
              <w:top w:val="nil"/>
              <w:left w:val="nil"/>
              <w:bottom w:val="sing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21,1</w:t>
            </w:r>
          </w:p>
        </w:tc>
      </w:tr>
      <w:tr w:rsidR="0096170D" w:rsidTr="007F312F">
        <w:trPr>
          <w:trHeight w:val="307"/>
          <w:jc w:val="center"/>
        </w:trPr>
        <w:tc>
          <w:tcPr>
            <w:tcW w:w="1634" w:type="dxa"/>
            <w:tcBorders>
              <w:top w:val="single" w:sz="4" w:space="0" w:color="auto"/>
              <w:left w:val="nil"/>
              <w:bottom w:val="nil"/>
              <w:right w:val="nil"/>
            </w:tcBorders>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 xml:space="preserve">2014-I </w:t>
            </w:r>
            <w:proofErr w:type="spellStart"/>
            <w:r>
              <w:rPr>
                <w:rFonts w:ascii="Arial" w:hAnsi="Arial" w:cs="Arial"/>
                <w:color w:val="000000"/>
                <w:sz w:val="16"/>
                <w:szCs w:val="16"/>
              </w:rPr>
              <w:t>sem</w:t>
            </w:r>
            <w:proofErr w:type="spellEnd"/>
          </w:p>
        </w:tc>
        <w:tc>
          <w:tcPr>
            <w:tcW w:w="1492" w:type="dxa"/>
            <w:tcBorders>
              <w:top w:val="single" w:sz="4" w:space="0" w:color="auto"/>
              <w:left w:val="nil"/>
              <w:bottom w:val="nil"/>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12,6</w:t>
            </w:r>
          </w:p>
        </w:tc>
        <w:tc>
          <w:tcPr>
            <w:tcW w:w="1492" w:type="dxa"/>
            <w:tcBorders>
              <w:top w:val="single" w:sz="4" w:space="0" w:color="auto"/>
              <w:left w:val="nil"/>
              <w:bottom w:val="nil"/>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16,3</w:t>
            </w:r>
          </w:p>
        </w:tc>
        <w:tc>
          <w:tcPr>
            <w:tcW w:w="1492" w:type="dxa"/>
            <w:tcBorders>
              <w:top w:val="single" w:sz="4" w:space="0" w:color="auto"/>
              <w:left w:val="nil"/>
              <w:bottom w:val="nil"/>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0,6</w:t>
            </w:r>
          </w:p>
        </w:tc>
        <w:tc>
          <w:tcPr>
            <w:tcW w:w="1492" w:type="dxa"/>
            <w:tcBorders>
              <w:top w:val="single" w:sz="4" w:space="0" w:color="auto"/>
              <w:left w:val="nil"/>
              <w:bottom w:val="nil"/>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21,0</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2014-III trim.</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0,1</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21,2</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lastRenderedPageBreak/>
              <w:t>2014-Gennaio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21,5</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2014-Febbraio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16,4</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21,2</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2014-Marzo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0,4</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20,9</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2014-Aprile</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0,5</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21,0</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2014-Maggio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0,5</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21,0</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2014-Giugno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12,5</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16,2</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0,3</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20,7</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2014-Luglio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12,8</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16,6</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0,2</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21,1</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2014-Agosto</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12,7</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16,5</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0,2</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21,1</w:t>
            </w:r>
          </w:p>
        </w:tc>
      </w:tr>
      <w:tr w:rsidR="0096170D" w:rsidTr="007F312F">
        <w:trPr>
          <w:trHeight w:val="307"/>
          <w:jc w:val="center"/>
        </w:trPr>
        <w:tc>
          <w:tcPr>
            <w:tcW w:w="1634" w:type="dxa"/>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2014-Settembre</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12,9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16,9</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0,0</w:t>
            </w:r>
          </w:p>
        </w:tc>
        <w:tc>
          <w:tcPr>
            <w:tcW w:w="1492" w:type="dxa"/>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21,3</w:t>
            </w:r>
          </w:p>
        </w:tc>
      </w:tr>
      <w:tr w:rsidR="0096170D" w:rsidTr="007F312F">
        <w:trPr>
          <w:trHeight w:val="307"/>
          <w:jc w:val="center"/>
        </w:trPr>
        <w:tc>
          <w:tcPr>
            <w:tcW w:w="1634" w:type="dxa"/>
            <w:tcBorders>
              <w:top w:val="nil"/>
              <w:left w:val="nil"/>
              <w:bottom w:val="double" w:sz="4" w:space="0" w:color="auto"/>
              <w:right w:val="nil"/>
            </w:tcBorders>
            <w:noWrap/>
            <w:vAlign w:val="center"/>
            <w:hideMark/>
          </w:tcPr>
          <w:p w:rsidR="0096170D" w:rsidRDefault="0096170D">
            <w:pPr>
              <w:spacing w:after="0"/>
              <w:rPr>
                <w:rFonts w:ascii="Arial" w:hAnsi="Arial" w:cs="Arial"/>
                <w:color w:val="000000"/>
                <w:sz w:val="16"/>
                <w:szCs w:val="16"/>
              </w:rPr>
            </w:pPr>
            <w:r>
              <w:rPr>
                <w:rFonts w:ascii="Arial" w:hAnsi="Arial" w:cs="Arial"/>
                <w:color w:val="000000"/>
                <w:sz w:val="16"/>
                <w:szCs w:val="16"/>
              </w:rPr>
              <w:t>2014-Ottobre</w:t>
            </w:r>
          </w:p>
        </w:tc>
        <w:tc>
          <w:tcPr>
            <w:tcW w:w="1492" w:type="dxa"/>
            <w:tcBorders>
              <w:top w:val="nil"/>
              <w:left w:val="nil"/>
              <w:bottom w:val="doub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13,2</w:t>
            </w:r>
          </w:p>
        </w:tc>
        <w:tc>
          <w:tcPr>
            <w:tcW w:w="1492" w:type="dxa"/>
            <w:tcBorders>
              <w:top w:val="nil"/>
              <w:left w:val="nil"/>
              <w:bottom w:val="doub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17,2</w:t>
            </w:r>
          </w:p>
        </w:tc>
        <w:tc>
          <w:tcPr>
            <w:tcW w:w="1492" w:type="dxa"/>
            <w:tcBorders>
              <w:top w:val="nil"/>
              <w:left w:val="nil"/>
              <w:bottom w:val="doub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0,1</w:t>
            </w:r>
          </w:p>
        </w:tc>
        <w:tc>
          <w:tcPr>
            <w:tcW w:w="1492" w:type="dxa"/>
            <w:tcBorders>
              <w:top w:val="nil"/>
              <w:left w:val="nil"/>
              <w:bottom w:val="double" w:sz="4" w:space="0" w:color="auto"/>
              <w:right w:val="nil"/>
            </w:tcBorders>
            <w:noWrap/>
            <w:vAlign w:val="center"/>
            <w:hideMark/>
          </w:tcPr>
          <w:p w:rsidR="0096170D" w:rsidRDefault="0096170D">
            <w:pPr>
              <w:spacing w:after="0"/>
              <w:jc w:val="center"/>
              <w:rPr>
                <w:rFonts w:ascii="Arial" w:hAnsi="Arial" w:cs="Arial"/>
                <w:color w:val="000000"/>
                <w:sz w:val="16"/>
                <w:szCs w:val="16"/>
              </w:rPr>
            </w:pPr>
            <w:r>
              <w:rPr>
                <w:rFonts w:ascii="Arial" w:hAnsi="Arial" w:cs="Arial"/>
                <w:color w:val="000000"/>
                <w:sz w:val="16"/>
                <w:szCs w:val="16"/>
              </w:rPr>
              <w:t>21,9</w:t>
            </w:r>
          </w:p>
        </w:tc>
      </w:tr>
    </w:tbl>
    <w:p w:rsidR="0096170D" w:rsidRDefault="0096170D" w:rsidP="00C646BA">
      <w:pPr>
        <w:spacing w:after="0"/>
        <w:ind w:right="282"/>
        <w:jc w:val="both"/>
        <w:rPr>
          <w:rFonts w:ascii="Arial" w:hAnsi="Arial" w:cs="Arial"/>
          <w:i/>
          <w:sz w:val="16"/>
          <w:szCs w:val="16"/>
        </w:rPr>
      </w:pPr>
      <w:r>
        <w:rPr>
          <w:rFonts w:ascii="Arial" w:hAnsi="Arial" w:cs="Arial"/>
          <w:sz w:val="16"/>
          <w:szCs w:val="16"/>
        </w:rPr>
        <w:t>Elaborazioni Ufficio Studi Confcommercio-Imprese per l’Italia su dati ISTAT ed INPS.</w:t>
      </w:r>
    </w:p>
    <w:p w:rsidR="0096170D" w:rsidRDefault="0096170D" w:rsidP="00C646BA">
      <w:pPr>
        <w:spacing w:after="0"/>
        <w:ind w:right="282"/>
        <w:jc w:val="both"/>
        <w:rPr>
          <w:rFonts w:ascii="Arial" w:hAnsi="Arial" w:cs="Arial"/>
          <w:sz w:val="16"/>
          <w:szCs w:val="16"/>
        </w:rPr>
      </w:pPr>
      <w:r>
        <w:rPr>
          <w:rFonts w:ascii="Arial" w:hAnsi="Arial" w:cs="Arial"/>
          <w:sz w:val="16"/>
          <w:szCs w:val="16"/>
        </w:rPr>
        <w:t xml:space="preserve">Legenda: per le definizioni si veda la nota tecnica. * I dati degli ultimi </w:t>
      </w:r>
      <w:r w:rsidRPr="00D41597">
        <w:rPr>
          <w:rFonts w:ascii="Arial" w:hAnsi="Arial" w:cs="Arial"/>
          <w:sz w:val="16"/>
          <w:szCs w:val="16"/>
        </w:rPr>
        <w:t>quattro mesi</w:t>
      </w:r>
      <w:r>
        <w:rPr>
          <w:rFonts w:ascii="Arial" w:hAnsi="Arial" w:cs="Arial"/>
          <w:sz w:val="16"/>
          <w:szCs w:val="16"/>
        </w:rPr>
        <w:t xml:space="preserve"> sono frutto di stime (cfr. la nota tecnica a pag. 3).</w:t>
      </w:r>
    </w:p>
    <w:p w:rsidR="0096170D" w:rsidRDefault="0096170D" w:rsidP="0096170D">
      <w:pPr>
        <w:spacing w:after="0"/>
        <w:ind w:left="567"/>
        <w:jc w:val="center"/>
        <w:rPr>
          <w:rFonts w:ascii="Arial" w:hAnsi="Arial" w:cs="Arial"/>
          <w:b/>
          <w:bCs/>
          <w:sz w:val="24"/>
          <w:szCs w:val="28"/>
        </w:rPr>
      </w:pPr>
    </w:p>
    <w:p w:rsidR="0096170D" w:rsidRDefault="0096170D" w:rsidP="0096170D">
      <w:pPr>
        <w:spacing w:after="0"/>
        <w:ind w:left="567"/>
        <w:jc w:val="center"/>
        <w:rPr>
          <w:rFonts w:ascii="Arial" w:hAnsi="Arial" w:cs="Arial"/>
          <w:b/>
          <w:bCs/>
          <w:sz w:val="24"/>
          <w:szCs w:val="28"/>
        </w:rPr>
      </w:pPr>
      <w:r>
        <w:rPr>
          <w:rFonts w:ascii="Arial" w:hAnsi="Arial" w:cs="Arial"/>
          <w:b/>
          <w:bCs/>
          <w:sz w:val="24"/>
          <w:szCs w:val="28"/>
        </w:rPr>
        <w:t>Figura 1: Misery Index Confcommercio (MIC)</w:t>
      </w:r>
    </w:p>
    <w:p w:rsidR="0096170D" w:rsidRDefault="0096170D" w:rsidP="0096170D">
      <w:pPr>
        <w:spacing w:after="0"/>
        <w:jc w:val="center"/>
        <w:rPr>
          <w:rFonts w:ascii="Arial" w:hAnsi="Arial" w:cs="Arial"/>
          <w:b/>
          <w:bCs/>
          <w:sz w:val="24"/>
          <w:szCs w:val="28"/>
        </w:rPr>
      </w:pPr>
      <w:r>
        <w:rPr>
          <w:noProof/>
          <w:lang w:eastAsia="it-IT"/>
        </w:rPr>
        <w:drawing>
          <wp:inline distT="0" distB="0" distL="0" distR="0" wp14:anchorId="7762E6BB" wp14:editId="283A88C0">
            <wp:extent cx="4943475" cy="3028356"/>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201" cy="3042278"/>
                    </a:xfrm>
                    <a:prstGeom prst="rect">
                      <a:avLst/>
                    </a:prstGeom>
                    <a:noFill/>
                    <a:ln>
                      <a:noFill/>
                    </a:ln>
                  </pic:spPr>
                </pic:pic>
              </a:graphicData>
            </a:graphic>
          </wp:inline>
        </w:drawing>
      </w:r>
    </w:p>
    <w:p w:rsidR="0096170D" w:rsidRDefault="0096170D" w:rsidP="0096170D">
      <w:pPr>
        <w:spacing w:after="0"/>
        <w:ind w:left="567" w:right="566"/>
        <w:jc w:val="both"/>
        <w:rPr>
          <w:rFonts w:ascii="Arial" w:hAnsi="Arial" w:cs="Arial"/>
          <w:i/>
          <w:sz w:val="16"/>
          <w:szCs w:val="16"/>
        </w:rPr>
      </w:pPr>
      <w:r>
        <w:rPr>
          <w:rFonts w:ascii="Arial" w:hAnsi="Arial" w:cs="Arial"/>
          <w:sz w:val="16"/>
          <w:szCs w:val="16"/>
        </w:rPr>
        <w:t>Elaborazioni Ufficio Studi Confcommercio-Imprese per l’Italia su dati ISTAT ed INPS.</w:t>
      </w:r>
    </w:p>
    <w:p w:rsidR="0096170D" w:rsidRDefault="0096170D" w:rsidP="0096170D">
      <w:pPr>
        <w:spacing w:after="0"/>
        <w:ind w:left="567" w:right="566"/>
        <w:jc w:val="both"/>
        <w:rPr>
          <w:rFonts w:ascii="Arial" w:hAnsi="Arial" w:cs="Arial"/>
          <w:sz w:val="16"/>
          <w:szCs w:val="16"/>
        </w:rPr>
      </w:pPr>
      <w:r>
        <w:rPr>
          <w:rFonts w:ascii="Arial" w:hAnsi="Arial" w:cs="Arial"/>
          <w:sz w:val="16"/>
          <w:szCs w:val="16"/>
        </w:rPr>
        <w:t xml:space="preserve">Legenda: per le definizioni si veda la nota tecnica. I dati degli ultimi </w:t>
      </w:r>
      <w:r>
        <w:rPr>
          <w:rFonts w:ascii="Arial" w:hAnsi="Arial" w:cs="Arial"/>
          <w:sz w:val="16"/>
          <w:szCs w:val="16"/>
          <w:highlight w:val="yellow"/>
        </w:rPr>
        <w:t xml:space="preserve"> </w:t>
      </w:r>
      <w:r w:rsidRPr="00D41597">
        <w:rPr>
          <w:rFonts w:ascii="Arial" w:hAnsi="Arial" w:cs="Arial"/>
          <w:sz w:val="16"/>
          <w:szCs w:val="16"/>
        </w:rPr>
        <w:t>quattro mesi</w:t>
      </w:r>
      <w:r>
        <w:rPr>
          <w:rFonts w:ascii="Arial" w:hAnsi="Arial" w:cs="Arial"/>
          <w:sz w:val="16"/>
          <w:szCs w:val="16"/>
        </w:rPr>
        <w:t xml:space="preserve"> sono frutto di stime (cfr. la nota tecnica a pag. 3).</w:t>
      </w:r>
    </w:p>
    <w:p w:rsidR="0096170D" w:rsidRDefault="0096170D" w:rsidP="0096170D">
      <w:pPr>
        <w:spacing w:after="0"/>
        <w:ind w:left="567" w:right="566"/>
        <w:jc w:val="both"/>
        <w:rPr>
          <w:rFonts w:ascii="Arial" w:hAnsi="Arial" w:cs="Arial"/>
          <w:sz w:val="16"/>
          <w:szCs w:val="16"/>
        </w:rPr>
      </w:pPr>
    </w:p>
    <w:p w:rsidR="0096170D" w:rsidRDefault="0096170D" w:rsidP="0096170D">
      <w:pPr>
        <w:spacing w:line="24" w:lineRule="atLeast"/>
        <w:jc w:val="center"/>
        <w:rPr>
          <w:rFonts w:ascii="Arial" w:hAnsi="Arial" w:cs="Arial"/>
          <w:b/>
          <w:bCs/>
          <w:color w:val="0000FF"/>
          <w:sz w:val="24"/>
          <w:szCs w:val="24"/>
        </w:rPr>
      </w:pPr>
      <w:r>
        <w:rPr>
          <w:rFonts w:ascii="Arial" w:hAnsi="Arial" w:cs="Arial"/>
          <w:b/>
          <w:bCs/>
          <w:color w:val="0000FF"/>
          <w:sz w:val="24"/>
          <w:szCs w:val="24"/>
        </w:rPr>
        <w:t>Nota tecnica sul calcolo del Misery Index Confcommercio (MIC)</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Il </w:t>
      </w:r>
      <w:r>
        <w:rPr>
          <w:rFonts w:ascii="Arial" w:hAnsi="Arial" w:cs="Arial"/>
          <w:b/>
          <w:sz w:val="16"/>
          <w:szCs w:val="16"/>
        </w:rPr>
        <w:t>Misery Index</w:t>
      </w:r>
      <w:r>
        <w:rPr>
          <w:rFonts w:ascii="Arial" w:hAnsi="Arial" w:cs="Arial"/>
          <w:sz w:val="16"/>
          <w:szCs w:val="16"/>
        </w:rPr>
        <w:t xml:space="preserve"> </w:t>
      </w:r>
      <w:r>
        <w:rPr>
          <w:rFonts w:ascii="Arial" w:hAnsi="Arial" w:cs="Arial"/>
          <w:b/>
          <w:sz w:val="16"/>
          <w:szCs w:val="16"/>
        </w:rPr>
        <w:t>(MI)</w:t>
      </w:r>
      <w:r>
        <w:rPr>
          <w:rFonts w:ascii="Arial" w:hAnsi="Arial" w:cs="Arial"/>
          <w:sz w:val="16"/>
          <w:szCs w:val="16"/>
        </w:rPr>
        <w:t xml:space="preserve"> tradizionale è dato dalla semplice somma di tasso di disoccupazione e tasso d’inflazione. I pesi assegnati ai due “mali” sono dunque identici e pari a 1.</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Il </w:t>
      </w:r>
      <w:r>
        <w:rPr>
          <w:rFonts w:ascii="Arial" w:hAnsi="Arial" w:cs="Arial"/>
          <w:b/>
          <w:sz w:val="16"/>
          <w:szCs w:val="16"/>
        </w:rPr>
        <w:t>Misery Index Confcommercio (MIC)</w:t>
      </w:r>
      <w:r>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ISTAT): le dinamiche di prezzo di questo paniere dovrebbero influenzare in modo più diretto la percezione dell’inflazione da parte delle famiglie, correlandosi direttamente con le preoccupazioni (disagio) in merito al proprio potere d’acquisto.</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Si assegnano pesi diversi alle due componenti, disoccupazione ed inflazione, rispettivamente 1,2647 e 0,7353. Ciò sulla base degli studi scientifici internazionali che, utilizzando dati </w:t>
      </w:r>
      <w:proofErr w:type="spellStart"/>
      <w:r>
        <w:rPr>
          <w:rFonts w:ascii="Arial" w:hAnsi="Arial" w:cs="Arial"/>
          <w:sz w:val="16"/>
          <w:szCs w:val="16"/>
        </w:rPr>
        <w:t>Eurobarometro</w:t>
      </w:r>
      <w:proofErr w:type="spellEnd"/>
      <w:r>
        <w:rPr>
          <w:rFonts w:ascii="Arial" w:hAnsi="Arial" w:cs="Arial"/>
          <w:sz w:val="16"/>
          <w:szCs w:val="16"/>
        </w:rPr>
        <w:t xml:space="preserve"> sul benessere dei cittadini europei (si veda Di Tella, </w:t>
      </w:r>
      <w:proofErr w:type="spellStart"/>
      <w:r>
        <w:rPr>
          <w:rFonts w:ascii="Arial" w:hAnsi="Arial" w:cs="Arial"/>
          <w:sz w:val="16"/>
          <w:szCs w:val="16"/>
        </w:rPr>
        <w:t>MacCulloch</w:t>
      </w:r>
      <w:proofErr w:type="spellEnd"/>
      <w:r>
        <w:rPr>
          <w:rFonts w:ascii="Arial" w:hAnsi="Arial" w:cs="Arial"/>
          <w:sz w:val="16"/>
          <w:szCs w:val="16"/>
        </w:rPr>
        <w:t xml:space="preserve"> ed Oswald, 2001), hanno dimostrato come il costo della disoccupazione in termini di soddisfazione di vita sia molto superiore a quello dell’inflazione.</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Pr>
          <w:rFonts w:ascii="Arial" w:hAnsi="Arial" w:cs="Arial"/>
          <w:sz w:val="16"/>
          <w:szCs w:val="16"/>
        </w:rPr>
        <w:t>Castriota</w:t>
      </w:r>
      <w:proofErr w:type="spellEnd"/>
      <w:r>
        <w:rPr>
          <w:rFonts w:ascii="Arial" w:hAnsi="Arial" w:cs="Arial"/>
          <w:sz w:val="16"/>
          <w:szCs w:val="16"/>
        </w:rPr>
        <w:t xml:space="preserve"> e </w:t>
      </w:r>
      <w:proofErr w:type="spellStart"/>
      <w:r>
        <w:rPr>
          <w:rFonts w:ascii="Arial" w:hAnsi="Arial" w:cs="Arial"/>
          <w:sz w:val="16"/>
          <w:szCs w:val="16"/>
        </w:rPr>
        <w:t>Giuntella</w:t>
      </w:r>
      <w:proofErr w:type="spellEnd"/>
      <w:r>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rispettivamente, (1,72/2,72)x2=1,2647 e (1/2,72)x2=0,7353. I pesi sono moltiplicati per due in modo da lasciare la loro somma uguale a due per consentire una lettura non ambigua dei risultati (anche nel calcolo del Misery Index tradizionale la somma dei pesi è pari a due).</w:t>
      </w:r>
    </w:p>
    <w:p w:rsidR="0096170D" w:rsidRDefault="0096170D" w:rsidP="0096170D">
      <w:pPr>
        <w:pStyle w:val="Paragrafoelenco1"/>
        <w:spacing w:after="0" w:line="288" w:lineRule="auto"/>
        <w:ind w:left="0" w:firstLine="709"/>
        <w:jc w:val="both"/>
        <w:rPr>
          <w:rFonts w:ascii="Arial" w:hAnsi="Arial" w:cs="Arial"/>
          <w:sz w:val="16"/>
          <w:szCs w:val="16"/>
        </w:rPr>
      </w:pP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Il tasso di disoccupazione esteso è il termine in parentesi quadra a destra nella seguente formula:</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MIC=0,7353 × (</w:t>
      </w:r>
      <w:proofErr w:type="spellStart"/>
      <w:r>
        <w:rPr>
          <w:rFonts w:ascii="Arial" w:hAnsi="Arial" w:cs="Arial"/>
          <w:sz w:val="16"/>
          <w:szCs w:val="16"/>
        </w:rPr>
        <w:t>infl</w:t>
      </w:r>
      <w:proofErr w:type="spellEnd"/>
      <w:r>
        <w:rPr>
          <w:rFonts w:ascii="Arial" w:hAnsi="Arial" w:cs="Arial"/>
          <w:sz w:val="16"/>
          <w:szCs w:val="16"/>
        </w:rPr>
        <w:t>. AF) + 1,2647 × [(</w:t>
      </w:r>
      <w:proofErr w:type="spellStart"/>
      <w:r>
        <w:rPr>
          <w:rFonts w:ascii="Arial" w:hAnsi="Arial" w:cs="Arial"/>
          <w:sz w:val="16"/>
          <w:szCs w:val="16"/>
        </w:rPr>
        <w:t>disocc</w:t>
      </w:r>
      <w:proofErr w:type="spellEnd"/>
      <w:r>
        <w:rPr>
          <w:rFonts w:ascii="Arial" w:hAnsi="Arial" w:cs="Arial"/>
          <w:sz w:val="16"/>
          <w:szCs w:val="16"/>
        </w:rPr>
        <w:t xml:space="preserve">.+FL </w:t>
      </w:r>
      <w:proofErr w:type="spellStart"/>
      <w:r>
        <w:rPr>
          <w:rFonts w:ascii="Arial" w:hAnsi="Arial" w:cs="Arial"/>
          <w:sz w:val="16"/>
          <w:szCs w:val="16"/>
        </w:rPr>
        <w:t>pot</w:t>
      </w:r>
      <w:proofErr w:type="spellEnd"/>
      <w:r>
        <w:rPr>
          <w:rFonts w:ascii="Arial" w:hAnsi="Arial" w:cs="Arial"/>
          <w:sz w:val="16"/>
          <w:szCs w:val="16"/>
        </w:rPr>
        <w:t>.+ CIG)/(</w:t>
      </w:r>
      <w:proofErr w:type="spellStart"/>
      <w:r>
        <w:rPr>
          <w:rFonts w:ascii="Arial" w:hAnsi="Arial" w:cs="Arial"/>
          <w:sz w:val="16"/>
          <w:szCs w:val="16"/>
        </w:rPr>
        <w:t>occ</w:t>
      </w:r>
      <w:proofErr w:type="spellEnd"/>
      <w:r>
        <w:rPr>
          <w:rFonts w:ascii="Arial" w:hAnsi="Arial" w:cs="Arial"/>
          <w:sz w:val="16"/>
          <w:szCs w:val="16"/>
        </w:rPr>
        <w:t>.+</w:t>
      </w:r>
      <w:proofErr w:type="spellStart"/>
      <w:r>
        <w:rPr>
          <w:rFonts w:ascii="Arial" w:hAnsi="Arial" w:cs="Arial"/>
          <w:sz w:val="16"/>
          <w:szCs w:val="16"/>
        </w:rPr>
        <w:t>disocc</w:t>
      </w:r>
      <w:proofErr w:type="spellEnd"/>
      <w:r>
        <w:rPr>
          <w:rFonts w:ascii="Arial" w:hAnsi="Arial" w:cs="Arial"/>
          <w:sz w:val="16"/>
          <w:szCs w:val="16"/>
        </w:rPr>
        <w:t xml:space="preserve">.+FL </w:t>
      </w:r>
      <w:proofErr w:type="spellStart"/>
      <w:r>
        <w:rPr>
          <w:rFonts w:ascii="Arial" w:hAnsi="Arial" w:cs="Arial"/>
          <w:sz w:val="16"/>
          <w:szCs w:val="16"/>
        </w:rPr>
        <w:t>pot</w:t>
      </w:r>
      <w:proofErr w:type="spellEnd"/>
      <w:r>
        <w:rPr>
          <w:rFonts w:ascii="Arial" w:hAnsi="Arial" w:cs="Arial"/>
          <w:sz w:val="16"/>
          <w:szCs w:val="16"/>
        </w:rPr>
        <w:t>.) × 100]</w:t>
      </w:r>
    </w:p>
    <w:p w:rsidR="0096170D" w:rsidRDefault="0096170D" w:rsidP="0096170D">
      <w:pPr>
        <w:pStyle w:val="Paragrafoelenco1"/>
        <w:spacing w:after="0" w:line="288" w:lineRule="auto"/>
        <w:ind w:left="0" w:firstLine="709"/>
        <w:jc w:val="both"/>
        <w:rPr>
          <w:rFonts w:ascii="Arial" w:hAnsi="Arial" w:cs="Arial"/>
          <w:sz w:val="16"/>
          <w:szCs w:val="16"/>
        </w:rPr>
      </w:pP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 xml:space="preserve">Al numeratore del tasso di disoccupazione 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 pari a uno dal momento che un dipendente a tempo pieno lavora otto ore. Le forze di lavoro potenziali correggono opportunamente anche il denominatore, estendendo il concetto tradizionale di forze di lavoro a coloro che hanno svolto l’ultima azione di ricerca da due a tre mesi fa e che, quindi, sono più facilmente assimilabili ai disoccupati che agli inattivi; i cassaintegrati equivalenti, invece, non compaiono al denominatore perché già conteggiati (nella rilevazione dell’ISTAT figurano tra gli occupati). </w:t>
      </w:r>
    </w:p>
    <w:p w:rsidR="0096170D" w:rsidRDefault="0096170D" w:rsidP="0096170D">
      <w:pPr>
        <w:pStyle w:val="Paragrafoelenco1"/>
        <w:spacing w:after="0" w:line="288" w:lineRule="auto"/>
        <w:ind w:left="0" w:firstLine="709"/>
        <w:jc w:val="both"/>
        <w:rPr>
          <w:rFonts w:ascii="Arial" w:hAnsi="Arial" w:cs="Arial"/>
          <w:sz w:val="16"/>
          <w:szCs w:val="16"/>
        </w:rPr>
      </w:pPr>
      <w:r>
        <w:rPr>
          <w:rFonts w:ascii="Arial" w:hAnsi="Arial" w:cs="Arial"/>
          <w:sz w:val="16"/>
          <w:szCs w:val="16"/>
        </w:rPr>
        <w:t>Di seguito la descrizione delle singole variabili e le fonti:</w:t>
      </w:r>
    </w:p>
    <w:p w:rsidR="0096170D" w:rsidRDefault="0096170D" w:rsidP="0096170D">
      <w:pPr>
        <w:pStyle w:val="Paragrafoelenco1"/>
        <w:numPr>
          <w:ilvl w:val="0"/>
          <w:numId w:val="12"/>
        </w:numPr>
        <w:spacing w:after="0" w:line="288" w:lineRule="auto"/>
        <w:jc w:val="both"/>
        <w:rPr>
          <w:rFonts w:ascii="Arial" w:hAnsi="Arial" w:cs="Arial"/>
          <w:sz w:val="16"/>
          <w:szCs w:val="16"/>
        </w:rPr>
      </w:pPr>
      <w:r>
        <w:rPr>
          <w:rFonts w:ascii="Arial" w:hAnsi="Arial" w:cs="Arial"/>
          <w:sz w:val="16"/>
          <w:szCs w:val="16"/>
        </w:rPr>
        <w:t>Tasso di inflazione dei prodotti ad alta frequenza d’acquisto: dati mensili di fonte ISTAT, variazione tendenziale;</w:t>
      </w:r>
    </w:p>
    <w:p w:rsidR="0096170D" w:rsidRDefault="0096170D" w:rsidP="0096170D">
      <w:pPr>
        <w:pStyle w:val="Paragrafoelenco1"/>
        <w:numPr>
          <w:ilvl w:val="0"/>
          <w:numId w:val="12"/>
        </w:numPr>
        <w:spacing w:after="0" w:line="288" w:lineRule="auto"/>
        <w:jc w:val="both"/>
        <w:rPr>
          <w:rFonts w:ascii="Arial" w:hAnsi="Arial" w:cs="Arial"/>
          <w:sz w:val="16"/>
          <w:szCs w:val="16"/>
        </w:rPr>
      </w:pPr>
      <w:r>
        <w:rPr>
          <w:rFonts w:ascii="Arial" w:hAnsi="Arial" w:cs="Arial"/>
          <w:sz w:val="16"/>
          <w:szCs w:val="16"/>
        </w:rPr>
        <w:t>Tasso di disoccupazione, occupati e disoccupati: dati mensili destagionalizzati di fonte ISTAT;</w:t>
      </w:r>
    </w:p>
    <w:p w:rsidR="0096170D" w:rsidRDefault="0096170D" w:rsidP="0096170D">
      <w:pPr>
        <w:pStyle w:val="Paragrafoelenco1"/>
        <w:numPr>
          <w:ilvl w:val="0"/>
          <w:numId w:val="12"/>
        </w:numPr>
        <w:spacing w:after="0" w:line="288" w:lineRule="auto"/>
        <w:jc w:val="both"/>
        <w:rPr>
          <w:rFonts w:ascii="Arial" w:hAnsi="Arial" w:cs="Arial"/>
          <w:sz w:val="16"/>
          <w:szCs w:val="16"/>
        </w:rPr>
      </w:pPr>
      <w:r>
        <w:rPr>
          <w:rFonts w:ascii="Arial" w:hAnsi="Arial" w:cs="Arial"/>
          <w:sz w:val="16"/>
          <w:szCs w:val="16"/>
        </w:rPr>
        <w:t>Ore CIG: dati mensili INPS sulle ore di CIG effettivamente utilizzate (tiraggio, confronti omogenei); tale stima costituisce un’approssimazione dal momento che le comunicazioni delle aziende all’INPS non sono sempre contestuali al periodo di fruizione del sussidio da parte del lavoratore. I dati sono stati destagionalizzati con TRAMO-SEATS;</w:t>
      </w:r>
    </w:p>
    <w:p w:rsidR="0096170D" w:rsidRDefault="0096170D" w:rsidP="0096170D">
      <w:pPr>
        <w:pStyle w:val="Paragrafoelenco1"/>
        <w:numPr>
          <w:ilvl w:val="0"/>
          <w:numId w:val="12"/>
        </w:numPr>
        <w:spacing w:after="0" w:line="288" w:lineRule="auto"/>
        <w:jc w:val="both"/>
        <w:rPr>
          <w:rFonts w:ascii="Arial" w:hAnsi="Arial" w:cs="Arial"/>
          <w:sz w:val="16"/>
          <w:szCs w:val="16"/>
        </w:rPr>
      </w:pPr>
      <w:r>
        <w:rPr>
          <w:rFonts w:ascii="Arial" w:hAnsi="Arial" w:cs="Arial"/>
          <w:sz w:val="16"/>
          <w:szCs w:val="16"/>
        </w:rPr>
        <w:t xml:space="preserve">CIG: numero di CIG-teste, calcolate dividendo le Ore CIG totali per 2000 ore annue (166,6 al mese); </w:t>
      </w:r>
    </w:p>
    <w:p w:rsidR="0096170D" w:rsidRDefault="0096170D" w:rsidP="0096170D">
      <w:pPr>
        <w:pStyle w:val="Paragrafoelenco1"/>
        <w:numPr>
          <w:ilvl w:val="0"/>
          <w:numId w:val="12"/>
        </w:numPr>
        <w:spacing w:after="0" w:line="288" w:lineRule="auto"/>
        <w:jc w:val="both"/>
        <w:rPr>
          <w:rFonts w:ascii="Arial" w:hAnsi="Arial" w:cs="Arial"/>
          <w:sz w:val="16"/>
          <w:szCs w:val="16"/>
        </w:rPr>
      </w:pPr>
      <w:r>
        <w:rPr>
          <w:rFonts w:ascii="Arial" w:hAnsi="Arial" w:cs="Arial"/>
          <w:sz w:val="16"/>
          <w:szCs w:val="16"/>
        </w:rPr>
        <w:t xml:space="preserve">Forze di lavoro potenziali: sottoinsieme delle persone che (1) si dichiarano in cerca di lavoro, (2) sono disponibili a lavorare nelle prossime due settimane e (3) anche se non lo hanno fatto nelle ultime quattro settimane, affermano di aver compiuto una o più azioni di ricerca da 2 a 3 mesi prima dell’intervista. I dati sulle forze lavoro potenziali, forniti dall’ISTAT su base trimestrale, sono stati destagionalizzati con TRAMO-SEATS e </w:t>
      </w:r>
      <w:proofErr w:type="spellStart"/>
      <w:r>
        <w:rPr>
          <w:rFonts w:ascii="Arial" w:hAnsi="Arial" w:cs="Arial"/>
          <w:sz w:val="16"/>
          <w:szCs w:val="16"/>
        </w:rPr>
        <w:t>mensilizzati</w:t>
      </w:r>
      <w:proofErr w:type="spellEnd"/>
      <w:r>
        <w:rPr>
          <w:rFonts w:ascii="Arial" w:hAnsi="Arial" w:cs="Arial"/>
          <w:sz w:val="16"/>
          <w:szCs w:val="16"/>
        </w:rPr>
        <w:t>.</w:t>
      </w:r>
    </w:p>
    <w:p w:rsidR="0096170D" w:rsidRDefault="0096170D" w:rsidP="0096170D">
      <w:pPr>
        <w:pStyle w:val="Paragrafoelenco1"/>
        <w:spacing w:after="0" w:line="288" w:lineRule="auto"/>
        <w:ind w:left="1429"/>
        <w:jc w:val="both"/>
        <w:rPr>
          <w:rFonts w:ascii="Arial" w:hAnsi="Arial" w:cs="Arial"/>
          <w:sz w:val="16"/>
          <w:szCs w:val="16"/>
        </w:rPr>
      </w:pPr>
    </w:p>
    <w:p w:rsidR="0096170D" w:rsidRPr="0096170D" w:rsidRDefault="0096170D" w:rsidP="0096170D">
      <w:pPr>
        <w:pStyle w:val="Paragrafoelenco1"/>
        <w:spacing w:after="0" w:line="288" w:lineRule="auto"/>
        <w:ind w:left="0"/>
        <w:jc w:val="both"/>
        <w:rPr>
          <w:rFonts w:ascii="Arial" w:hAnsi="Arial" w:cs="Arial"/>
          <w:sz w:val="16"/>
          <w:szCs w:val="16"/>
        </w:rPr>
      </w:pPr>
      <w:r w:rsidRPr="0096170D">
        <w:rPr>
          <w:rFonts w:ascii="Arial" w:hAnsi="Arial" w:cs="Arial"/>
          <w:b/>
          <w:sz w:val="16"/>
          <w:szCs w:val="16"/>
        </w:rPr>
        <w:t>Per il presente numero</w:t>
      </w:r>
    </w:p>
    <w:p w:rsidR="0096170D" w:rsidRPr="0096170D" w:rsidRDefault="0096170D" w:rsidP="0096170D">
      <w:pPr>
        <w:pStyle w:val="Paragrafoelenco1"/>
        <w:numPr>
          <w:ilvl w:val="0"/>
          <w:numId w:val="12"/>
        </w:numPr>
        <w:spacing w:after="0" w:line="288" w:lineRule="auto"/>
        <w:ind w:left="0"/>
        <w:jc w:val="both"/>
        <w:rPr>
          <w:rFonts w:ascii="Arial" w:hAnsi="Arial" w:cs="Arial"/>
          <w:sz w:val="16"/>
          <w:szCs w:val="16"/>
        </w:rPr>
      </w:pPr>
      <w:r w:rsidRPr="0096170D">
        <w:rPr>
          <w:rFonts w:ascii="Arial" w:hAnsi="Arial" w:cs="Arial"/>
          <w:sz w:val="16"/>
          <w:szCs w:val="16"/>
        </w:rPr>
        <w:t>I dati sulle ore di CIG effettivamente utilizzate sono stati destagionalizzati e, per gli ultimi due mesi, stimati con TRAMO-SEATS;</w:t>
      </w:r>
    </w:p>
    <w:p w:rsidR="0096170D" w:rsidRPr="0096170D" w:rsidRDefault="0096170D" w:rsidP="0096170D">
      <w:pPr>
        <w:pStyle w:val="Paragrafoelenco1"/>
        <w:numPr>
          <w:ilvl w:val="0"/>
          <w:numId w:val="12"/>
        </w:numPr>
        <w:spacing w:after="0" w:line="288" w:lineRule="auto"/>
        <w:ind w:left="0"/>
        <w:jc w:val="both"/>
        <w:rPr>
          <w:rFonts w:ascii="Arial" w:hAnsi="Arial" w:cs="Arial"/>
          <w:sz w:val="16"/>
          <w:szCs w:val="16"/>
        </w:rPr>
      </w:pPr>
      <w:r w:rsidRPr="0096170D">
        <w:rPr>
          <w:rFonts w:ascii="Arial" w:hAnsi="Arial" w:cs="Arial"/>
          <w:sz w:val="16"/>
          <w:szCs w:val="16"/>
        </w:rPr>
        <w:t xml:space="preserve">I dati sulle forze di lavoro potenziali per gli ultimi due mesi sono stimati applicando ai dati trimestrali un modello di previsione che tenga conto delle ciclicità stagionali (le elaborazioni sono state effettuate con TRAMO-SEATS). La previsione è stata poi opportunamente </w:t>
      </w:r>
      <w:proofErr w:type="spellStart"/>
      <w:r w:rsidRPr="0096170D">
        <w:rPr>
          <w:rFonts w:ascii="Arial" w:hAnsi="Arial" w:cs="Arial"/>
          <w:sz w:val="16"/>
          <w:szCs w:val="16"/>
        </w:rPr>
        <w:t>mensilizzata</w:t>
      </w:r>
      <w:proofErr w:type="spellEnd"/>
      <w:r w:rsidRPr="0096170D">
        <w:rPr>
          <w:rFonts w:ascii="Arial" w:hAnsi="Arial" w:cs="Arial"/>
          <w:sz w:val="16"/>
          <w:szCs w:val="16"/>
        </w:rPr>
        <w:t xml:space="preserve">. </w:t>
      </w:r>
    </w:p>
    <w:p w:rsidR="0096170D" w:rsidRDefault="0096170D" w:rsidP="0096170D">
      <w:pPr>
        <w:pStyle w:val="Paragrafoelenco1"/>
        <w:spacing w:after="0" w:line="24" w:lineRule="atLeast"/>
        <w:jc w:val="both"/>
        <w:rPr>
          <w:rFonts w:ascii="Arial" w:hAnsi="Arial" w:cs="Arial"/>
          <w:sz w:val="16"/>
          <w:szCs w:val="16"/>
        </w:rPr>
      </w:pPr>
    </w:p>
    <w:p w:rsidR="0096170D" w:rsidRDefault="0096170D" w:rsidP="0096170D">
      <w:pPr>
        <w:pStyle w:val="Paragrafoelenco1"/>
        <w:spacing w:after="0" w:line="288" w:lineRule="auto"/>
        <w:ind w:left="0" w:firstLine="709"/>
        <w:jc w:val="both"/>
        <w:rPr>
          <w:rFonts w:ascii="Arial" w:hAnsi="Arial" w:cs="Arial"/>
          <w:b/>
          <w:sz w:val="16"/>
          <w:szCs w:val="16"/>
          <w:lang w:val="en-US"/>
        </w:rPr>
      </w:pPr>
      <w:proofErr w:type="spellStart"/>
      <w:r>
        <w:rPr>
          <w:rFonts w:ascii="Arial" w:hAnsi="Arial" w:cs="Arial"/>
          <w:b/>
          <w:sz w:val="16"/>
          <w:szCs w:val="16"/>
          <w:lang w:val="en-US"/>
        </w:rPr>
        <w:t>Riferimenti</w:t>
      </w:r>
      <w:proofErr w:type="spellEnd"/>
    </w:p>
    <w:p w:rsidR="0096170D" w:rsidRDefault="0096170D" w:rsidP="0096170D">
      <w:pPr>
        <w:pStyle w:val="Paragrafoelenco1"/>
        <w:spacing w:after="0" w:line="288" w:lineRule="auto"/>
        <w:ind w:left="0" w:firstLine="709"/>
        <w:jc w:val="both"/>
        <w:rPr>
          <w:rFonts w:ascii="Arial" w:hAnsi="Arial" w:cs="Arial"/>
          <w:b/>
          <w:sz w:val="16"/>
          <w:szCs w:val="16"/>
          <w:lang w:val="en-US"/>
        </w:rPr>
      </w:pPr>
    </w:p>
    <w:p w:rsidR="0096170D" w:rsidRDefault="0096170D" w:rsidP="0096170D">
      <w:pPr>
        <w:pStyle w:val="Paragrafoelenco1"/>
        <w:numPr>
          <w:ilvl w:val="0"/>
          <w:numId w:val="13"/>
        </w:numPr>
        <w:spacing w:after="0" w:line="288" w:lineRule="auto"/>
        <w:ind w:left="0"/>
        <w:jc w:val="both"/>
        <w:rPr>
          <w:rFonts w:ascii="Arial" w:hAnsi="Arial" w:cs="Arial"/>
          <w:sz w:val="16"/>
          <w:szCs w:val="16"/>
          <w:lang w:val="en-US"/>
        </w:rPr>
      </w:pPr>
      <w:proofErr w:type="spellStart"/>
      <w:r>
        <w:rPr>
          <w:rFonts w:ascii="Arial" w:hAnsi="Arial" w:cs="Arial"/>
          <w:sz w:val="16"/>
          <w:szCs w:val="16"/>
          <w:lang w:val="en-US"/>
        </w:rPr>
        <w:t>Becchetti</w:t>
      </w:r>
      <w:proofErr w:type="spellEnd"/>
      <w:r>
        <w:rPr>
          <w:rFonts w:ascii="Arial" w:hAnsi="Arial" w:cs="Arial"/>
          <w:sz w:val="16"/>
          <w:szCs w:val="16"/>
          <w:lang w:val="en-US"/>
        </w:rPr>
        <w:t xml:space="preserve"> L., </w:t>
      </w:r>
      <w:proofErr w:type="spellStart"/>
      <w:r>
        <w:rPr>
          <w:rFonts w:ascii="Arial" w:hAnsi="Arial" w:cs="Arial"/>
          <w:sz w:val="16"/>
          <w:szCs w:val="16"/>
          <w:lang w:val="en-US"/>
        </w:rPr>
        <w:t>Castriota</w:t>
      </w:r>
      <w:proofErr w:type="spellEnd"/>
      <w:r>
        <w:rPr>
          <w:rFonts w:ascii="Arial" w:hAnsi="Arial" w:cs="Arial"/>
          <w:sz w:val="16"/>
          <w:szCs w:val="16"/>
          <w:lang w:val="en-US"/>
        </w:rPr>
        <w:t xml:space="preserve"> S., </w:t>
      </w:r>
      <w:proofErr w:type="spellStart"/>
      <w:r>
        <w:rPr>
          <w:rFonts w:ascii="Arial" w:hAnsi="Arial" w:cs="Arial"/>
          <w:sz w:val="16"/>
          <w:szCs w:val="16"/>
          <w:lang w:val="en-US"/>
        </w:rPr>
        <w:t>Giuntella</w:t>
      </w:r>
      <w:proofErr w:type="spellEnd"/>
      <w:r>
        <w:rPr>
          <w:rFonts w:ascii="Arial" w:hAnsi="Arial" w:cs="Arial"/>
          <w:sz w:val="16"/>
          <w:szCs w:val="16"/>
          <w:lang w:val="en-US"/>
        </w:rPr>
        <w:t xml:space="preserve"> O. (2010), “The Effects of Age and Job Protection on the Welfare Costs of Inflation and Unemployment”, European Journal of Political Economy, Vol. 26, pp. 137-146. </w:t>
      </w:r>
    </w:p>
    <w:p w:rsidR="0096170D" w:rsidRDefault="0096170D" w:rsidP="0096170D">
      <w:pPr>
        <w:pStyle w:val="Paragrafoelenco1"/>
        <w:spacing w:after="0" w:line="288" w:lineRule="auto"/>
        <w:ind w:left="0"/>
        <w:jc w:val="both"/>
        <w:rPr>
          <w:rFonts w:ascii="Arial" w:hAnsi="Arial" w:cs="Arial"/>
          <w:sz w:val="16"/>
          <w:szCs w:val="16"/>
          <w:lang w:val="en-US"/>
        </w:rPr>
      </w:pPr>
    </w:p>
    <w:p w:rsidR="0096170D" w:rsidRDefault="0096170D" w:rsidP="0096170D">
      <w:pPr>
        <w:pStyle w:val="Paragrafoelenco1"/>
        <w:numPr>
          <w:ilvl w:val="0"/>
          <w:numId w:val="13"/>
        </w:numPr>
        <w:spacing w:after="0" w:line="288" w:lineRule="auto"/>
        <w:ind w:left="0"/>
        <w:jc w:val="both"/>
        <w:rPr>
          <w:rFonts w:ascii="Arial" w:hAnsi="Arial" w:cs="Arial"/>
          <w:sz w:val="16"/>
          <w:szCs w:val="16"/>
          <w:lang w:val="en-US"/>
        </w:rPr>
      </w:pPr>
      <w:r>
        <w:rPr>
          <w:rFonts w:ascii="Arial" w:hAnsi="Arial" w:cs="Arial"/>
          <w:sz w:val="16"/>
          <w:szCs w:val="16"/>
          <w:lang w:val="en-US"/>
        </w:rPr>
        <w:t xml:space="preserve">Di </w:t>
      </w:r>
      <w:proofErr w:type="spellStart"/>
      <w:r>
        <w:rPr>
          <w:rFonts w:ascii="Arial" w:hAnsi="Arial" w:cs="Arial"/>
          <w:sz w:val="16"/>
          <w:szCs w:val="16"/>
          <w:lang w:val="en-US"/>
        </w:rPr>
        <w:t>Tella</w:t>
      </w:r>
      <w:proofErr w:type="spellEnd"/>
      <w:r>
        <w:rPr>
          <w:rFonts w:ascii="Arial" w:hAnsi="Arial" w:cs="Arial"/>
          <w:sz w:val="16"/>
          <w:szCs w:val="16"/>
          <w:lang w:val="en-US"/>
        </w:rPr>
        <w:t xml:space="preserve"> R., </w:t>
      </w:r>
      <w:proofErr w:type="spellStart"/>
      <w:r>
        <w:rPr>
          <w:rFonts w:ascii="Arial" w:hAnsi="Arial" w:cs="Arial"/>
          <w:sz w:val="16"/>
          <w:szCs w:val="16"/>
          <w:lang w:val="en-US"/>
        </w:rPr>
        <w:t>MacCulloch</w:t>
      </w:r>
      <w:proofErr w:type="spellEnd"/>
      <w:r>
        <w:rPr>
          <w:rFonts w:ascii="Arial" w:hAnsi="Arial" w:cs="Arial"/>
          <w:sz w:val="16"/>
          <w:szCs w:val="16"/>
          <w:lang w:val="en-US"/>
        </w:rPr>
        <w:t xml:space="preserve"> R., Oswald A. (2001), “Preferences over Inflation and Unemployment: Evidence from Surveys of Happiness”, American Economic Review, Vol. 91, pp. 335-341.</w:t>
      </w:r>
    </w:p>
    <w:p w:rsidR="00723FCE" w:rsidRPr="009D3CE8" w:rsidRDefault="00723FCE" w:rsidP="0096170D">
      <w:pPr>
        <w:pStyle w:val="Paragrafoelenco"/>
        <w:numPr>
          <w:ilvl w:val="0"/>
          <w:numId w:val="10"/>
        </w:numPr>
        <w:spacing w:after="120"/>
        <w:jc w:val="both"/>
        <w:rPr>
          <w:rFonts w:ascii="Arial" w:hAnsi="Arial" w:cs="Arial"/>
          <w:sz w:val="16"/>
          <w:szCs w:val="16"/>
          <w:lang w:val="en-US"/>
        </w:rPr>
      </w:pPr>
    </w:p>
    <w:sectPr w:rsidR="00723FCE" w:rsidRPr="009D3CE8" w:rsidSect="00F50828">
      <w:headerReference w:type="default" r:id="rId11"/>
      <w:footerReference w:type="default" r:id="rId12"/>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FB" w:rsidRDefault="00A95EFB" w:rsidP="009E2AA9">
      <w:pPr>
        <w:spacing w:after="0" w:line="240" w:lineRule="auto"/>
      </w:pPr>
      <w:r>
        <w:separator/>
      </w:r>
    </w:p>
  </w:endnote>
  <w:endnote w:type="continuationSeparator" w:id="0">
    <w:p w:rsidR="00A95EFB" w:rsidRDefault="00A95EFB"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A9" w:rsidRPr="00F820E5" w:rsidRDefault="009E2AA9" w:rsidP="009B6E3B">
    <w:pPr>
      <w:pStyle w:val="Pidipagina"/>
      <w:spacing w:before="24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FB" w:rsidRDefault="00A95EFB" w:rsidP="009E2AA9">
      <w:pPr>
        <w:spacing w:after="0" w:line="240" w:lineRule="auto"/>
      </w:pPr>
      <w:r>
        <w:separator/>
      </w:r>
    </w:p>
  </w:footnote>
  <w:footnote w:type="continuationSeparator" w:id="0">
    <w:p w:rsidR="00A95EFB" w:rsidRDefault="00A95EFB" w:rsidP="009E2AA9">
      <w:pPr>
        <w:spacing w:after="0" w:line="240" w:lineRule="auto"/>
      </w:pPr>
      <w:r>
        <w:continuationSeparator/>
      </w:r>
    </w:p>
  </w:footnote>
  <w:footnote w:id="1">
    <w:p w:rsidR="0096170D" w:rsidRDefault="0096170D" w:rsidP="0096170D">
      <w:pPr>
        <w:pStyle w:val="Testonotaapidipagina"/>
        <w:jc w:val="both"/>
      </w:pPr>
      <w:r>
        <w:rPr>
          <w:rStyle w:val="Rimandonotaapidipagina"/>
        </w:rPr>
        <w:footnoteRef/>
      </w:r>
      <w:r>
        <w:t xml:space="preserve"> </w:t>
      </w:r>
      <w:r>
        <w:rPr>
          <w:rFonts w:ascii="Arial" w:hAnsi="Arial" w:cs="Arial"/>
          <w:sz w:val="18"/>
        </w:rPr>
        <w:t>A giugno 2014 è stato effettuato un aggiornamento degli archivi INPS che ha determinato variazioni rispetto ai dati pubblicati in precedenza.</w:t>
      </w:r>
    </w:p>
  </w:footnote>
  <w:footnote w:id="2">
    <w:p w:rsidR="0096170D" w:rsidRDefault="0096170D" w:rsidP="0096170D">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Gli scoraggiati sono definiti come coloro che (1) si dichiarano in cerca di lavoro, (2) sono disponibili a lavorare nelle due settimane successive a quelle dell’intervista e (3) anche se non lo hanno fatto nelle ultime quattro settimane, affermano di aver compiuto una o più azioni di ricerca da 2 a 3 mesi prima dell’intervista.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CE" w:rsidRDefault="00DB2FCE">
    <w:pPr>
      <w:pStyle w:val="Intestazione"/>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 w:numId="11">
    <w:abstractNumId w:val="9"/>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10827"/>
    <w:rsid w:val="00017513"/>
    <w:rsid w:val="000312F5"/>
    <w:rsid w:val="00034D73"/>
    <w:rsid w:val="000411EC"/>
    <w:rsid w:val="00055AF7"/>
    <w:rsid w:val="000630BB"/>
    <w:rsid w:val="000648DF"/>
    <w:rsid w:val="00065DF9"/>
    <w:rsid w:val="00067EA9"/>
    <w:rsid w:val="00070E25"/>
    <w:rsid w:val="00080CB8"/>
    <w:rsid w:val="000812E9"/>
    <w:rsid w:val="00081E30"/>
    <w:rsid w:val="00094ABE"/>
    <w:rsid w:val="000A1983"/>
    <w:rsid w:val="000A7412"/>
    <w:rsid w:val="000B468C"/>
    <w:rsid w:val="000C0B86"/>
    <w:rsid w:val="000D15D2"/>
    <w:rsid w:val="000D3060"/>
    <w:rsid w:val="000D647A"/>
    <w:rsid w:val="000E110D"/>
    <w:rsid w:val="000E5D30"/>
    <w:rsid w:val="000E74BB"/>
    <w:rsid w:val="000F05D3"/>
    <w:rsid w:val="000F289C"/>
    <w:rsid w:val="000F7472"/>
    <w:rsid w:val="00105A05"/>
    <w:rsid w:val="00111B2F"/>
    <w:rsid w:val="00120CAE"/>
    <w:rsid w:val="00130EA2"/>
    <w:rsid w:val="00134449"/>
    <w:rsid w:val="00141D7E"/>
    <w:rsid w:val="001459C1"/>
    <w:rsid w:val="00151A25"/>
    <w:rsid w:val="001524D5"/>
    <w:rsid w:val="001552D2"/>
    <w:rsid w:val="00163424"/>
    <w:rsid w:val="00165FA5"/>
    <w:rsid w:val="00167028"/>
    <w:rsid w:val="00184BA2"/>
    <w:rsid w:val="001965B6"/>
    <w:rsid w:val="00197A70"/>
    <w:rsid w:val="001D4987"/>
    <w:rsid w:val="001E0D21"/>
    <w:rsid w:val="001E1144"/>
    <w:rsid w:val="001E453A"/>
    <w:rsid w:val="002038E3"/>
    <w:rsid w:val="002120FF"/>
    <w:rsid w:val="002142C9"/>
    <w:rsid w:val="002209CC"/>
    <w:rsid w:val="00222A01"/>
    <w:rsid w:val="002235A3"/>
    <w:rsid w:val="0022446D"/>
    <w:rsid w:val="00230BED"/>
    <w:rsid w:val="00233527"/>
    <w:rsid w:val="00243CC6"/>
    <w:rsid w:val="00252B02"/>
    <w:rsid w:val="00273DE8"/>
    <w:rsid w:val="002776B9"/>
    <w:rsid w:val="002814FA"/>
    <w:rsid w:val="00283C4D"/>
    <w:rsid w:val="002935BC"/>
    <w:rsid w:val="00296E9E"/>
    <w:rsid w:val="002B3E90"/>
    <w:rsid w:val="002B464C"/>
    <w:rsid w:val="002C078E"/>
    <w:rsid w:val="002C5B50"/>
    <w:rsid w:val="002D0B05"/>
    <w:rsid w:val="002D70BB"/>
    <w:rsid w:val="002E1133"/>
    <w:rsid w:val="002E32D6"/>
    <w:rsid w:val="002F5129"/>
    <w:rsid w:val="002F7928"/>
    <w:rsid w:val="003020EA"/>
    <w:rsid w:val="00312690"/>
    <w:rsid w:val="00315E04"/>
    <w:rsid w:val="003236BD"/>
    <w:rsid w:val="00343855"/>
    <w:rsid w:val="003607D8"/>
    <w:rsid w:val="00370B42"/>
    <w:rsid w:val="00370D97"/>
    <w:rsid w:val="0037486B"/>
    <w:rsid w:val="00376C50"/>
    <w:rsid w:val="00386089"/>
    <w:rsid w:val="00392B41"/>
    <w:rsid w:val="003A3042"/>
    <w:rsid w:val="003A4AF0"/>
    <w:rsid w:val="003B0C59"/>
    <w:rsid w:val="003C162B"/>
    <w:rsid w:val="003C5BE8"/>
    <w:rsid w:val="003D647F"/>
    <w:rsid w:val="003E26B4"/>
    <w:rsid w:val="003E3763"/>
    <w:rsid w:val="003F295F"/>
    <w:rsid w:val="003F36D6"/>
    <w:rsid w:val="003F4532"/>
    <w:rsid w:val="003F50CF"/>
    <w:rsid w:val="003F6F68"/>
    <w:rsid w:val="00401D54"/>
    <w:rsid w:val="004118A7"/>
    <w:rsid w:val="004160A8"/>
    <w:rsid w:val="00421CFE"/>
    <w:rsid w:val="00425DA3"/>
    <w:rsid w:val="004304BA"/>
    <w:rsid w:val="004327D0"/>
    <w:rsid w:val="00437F6D"/>
    <w:rsid w:val="00442AC3"/>
    <w:rsid w:val="004519E9"/>
    <w:rsid w:val="00453A1D"/>
    <w:rsid w:val="004547D3"/>
    <w:rsid w:val="004712EB"/>
    <w:rsid w:val="00480E3C"/>
    <w:rsid w:val="00481970"/>
    <w:rsid w:val="0048214B"/>
    <w:rsid w:val="00494AFF"/>
    <w:rsid w:val="004A06FC"/>
    <w:rsid w:val="004C07F2"/>
    <w:rsid w:val="004C37C9"/>
    <w:rsid w:val="004D0164"/>
    <w:rsid w:val="004D28DB"/>
    <w:rsid w:val="004D6DA4"/>
    <w:rsid w:val="004E0222"/>
    <w:rsid w:val="004E248E"/>
    <w:rsid w:val="004F07C6"/>
    <w:rsid w:val="004F6AEC"/>
    <w:rsid w:val="00500DBC"/>
    <w:rsid w:val="005068A5"/>
    <w:rsid w:val="00516CA6"/>
    <w:rsid w:val="0052143B"/>
    <w:rsid w:val="00527745"/>
    <w:rsid w:val="00530BBF"/>
    <w:rsid w:val="00532CD7"/>
    <w:rsid w:val="00534C8E"/>
    <w:rsid w:val="00554044"/>
    <w:rsid w:val="005547A7"/>
    <w:rsid w:val="005658E3"/>
    <w:rsid w:val="00576A78"/>
    <w:rsid w:val="00591EC1"/>
    <w:rsid w:val="005A2C25"/>
    <w:rsid w:val="005B0161"/>
    <w:rsid w:val="005C10ED"/>
    <w:rsid w:val="005C1C11"/>
    <w:rsid w:val="00600468"/>
    <w:rsid w:val="00600AC1"/>
    <w:rsid w:val="006048DD"/>
    <w:rsid w:val="00614FE9"/>
    <w:rsid w:val="0061766F"/>
    <w:rsid w:val="0062550E"/>
    <w:rsid w:val="00640849"/>
    <w:rsid w:val="00643283"/>
    <w:rsid w:val="00660BAF"/>
    <w:rsid w:val="00661B78"/>
    <w:rsid w:val="00664AA0"/>
    <w:rsid w:val="006802EB"/>
    <w:rsid w:val="00680BC4"/>
    <w:rsid w:val="006858C7"/>
    <w:rsid w:val="006A3306"/>
    <w:rsid w:val="006A7F22"/>
    <w:rsid w:val="006B510D"/>
    <w:rsid w:val="006B7DEE"/>
    <w:rsid w:val="006B7FC5"/>
    <w:rsid w:val="006E1304"/>
    <w:rsid w:val="006E7155"/>
    <w:rsid w:val="0070644A"/>
    <w:rsid w:val="00710FD0"/>
    <w:rsid w:val="00723FCE"/>
    <w:rsid w:val="00724640"/>
    <w:rsid w:val="00730D13"/>
    <w:rsid w:val="00741B94"/>
    <w:rsid w:val="00742646"/>
    <w:rsid w:val="00742E19"/>
    <w:rsid w:val="007506E2"/>
    <w:rsid w:val="007509A1"/>
    <w:rsid w:val="00760144"/>
    <w:rsid w:val="00766262"/>
    <w:rsid w:val="00770831"/>
    <w:rsid w:val="0077087E"/>
    <w:rsid w:val="007709B4"/>
    <w:rsid w:val="007713AA"/>
    <w:rsid w:val="0077673E"/>
    <w:rsid w:val="0079138C"/>
    <w:rsid w:val="00791742"/>
    <w:rsid w:val="007A32AD"/>
    <w:rsid w:val="007A7105"/>
    <w:rsid w:val="007B7073"/>
    <w:rsid w:val="007C00EA"/>
    <w:rsid w:val="007D33D4"/>
    <w:rsid w:val="007D6258"/>
    <w:rsid w:val="007D6730"/>
    <w:rsid w:val="007D752C"/>
    <w:rsid w:val="007E0858"/>
    <w:rsid w:val="007E219B"/>
    <w:rsid w:val="007E2E56"/>
    <w:rsid w:val="007F0CD3"/>
    <w:rsid w:val="007F312F"/>
    <w:rsid w:val="00802EFF"/>
    <w:rsid w:val="00804D16"/>
    <w:rsid w:val="008118D7"/>
    <w:rsid w:val="00814AA7"/>
    <w:rsid w:val="00823AE3"/>
    <w:rsid w:val="00825414"/>
    <w:rsid w:val="00825E9E"/>
    <w:rsid w:val="00826E40"/>
    <w:rsid w:val="00841739"/>
    <w:rsid w:val="0084584A"/>
    <w:rsid w:val="00846072"/>
    <w:rsid w:val="00851934"/>
    <w:rsid w:val="00852BA1"/>
    <w:rsid w:val="0087104A"/>
    <w:rsid w:val="00873AEE"/>
    <w:rsid w:val="00877C3D"/>
    <w:rsid w:val="00883AED"/>
    <w:rsid w:val="00891266"/>
    <w:rsid w:val="00896943"/>
    <w:rsid w:val="008A2D75"/>
    <w:rsid w:val="008A4979"/>
    <w:rsid w:val="008A4CEF"/>
    <w:rsid w:val="008E42FB"/>
    <w:rsid w:val="008E5574"/>
    <w:rsid w:val="008E7FC7"/>
    <w:rsid w:val="008F0994"/>
    <w:rsid w:val="008F7F81"/>
    <w:rsid w:val="00901CDB"/>
    <w:rsid w:val="009041FA"/>
    <w:rsid w:val="00907E33"/>
    <w:rsid w:val="00931964"/>
    <w:rsid w:val="00956C16"/>
    <w:rsid w:val="0096170D"/>
    <w:rsid w:val="00962738"/>
    <w:rsid w:val="00974101"/>
    <w:rsid w:val="0098126E"/>
    <w:rsid w:val="00981EEC"/>
    <w:rsid w:val="00994874"/>
    <w:rsid w:val="009974AB"/>
    <w:rsid w:val="00997A5C"/>
    <w:rsid w:val="009A0FEA"/>
    <w:rsid w:val="009B1DCC"/>
    <w:rsid w:val="009B27E2"/>
    <w:rsid w:val="009B68EE"/>
    <w:rsid w:val="009B6E3B"/>
    <w:rsid w:val="009B7D22"/>
    <w:rsid w:val="009C2EFE"/>
    <w:rsid w:val="009C2FD3"/>
    <w:rsid w:val="009D249A"/>
    <w:rsid w:val="009D3CE8"/>
    <w:rsid w:val="009E23EE"/>
    <w:rsid w:val="009E2AA9"/>
    <w:rsid w:val="009E4D96"/>
    <w:rsid w:val="00A01BD6"/>
    <w:rsid w:val="00A1342C"/>
    <w:rsid w:val="00A16FEC"/>
    <w:rsid w:val="00A22A70"/>
    <w:rsid w:val="00A43536"/>
    <w:rsid w:val="00A4553A"/>
    <w:rsid w:val="00A77ECC"/>
    <w:rsid w:val="00A855DF"/>
    <w:rsid w:val="00A901FB"/>
    <w:rsid w:val="00A9029D"/>
    <w:rsid w:val="00A911D3"/>
    <w:rsid w:val="00A9132D"/>
    <w:rsid w:val="00A91DB5"/>
    <w:rsid w:val="00A95EFB"/>
    <w:rsid w:val="00AB30F5"/>
    <w:rsid w:val="00AB5FD9"/>
    <w:rsid w:val="00AC07AC"/>
    <w:rsid w:val="00AC12DD"/>
    <w:rsid w:val="00AC399C"/>
    <w:rsid w:val="00AC4E51"/>
    <w:rsid w:val="00AD0A88"/>
    <w:rsid w:val="00AD114B"/>
    <w:rsid w:val="00AE0CFF"/>
    <w:rsid w:val="00AF52E5"/>
    <w:rsid w:val="00B010FF"/>
    <w:rsid w:val="00B0110A"/>
    <w:rsid w:val="00B02B85"/>
    <w:rsid w:val="00B032AE"/>
    <w:rsid w:val="00B052E7"/>
    <w:rsid w:val="00B11504"/>
    <w:rsid w:val="00B14852"/>
    <w:rsid w:val="00B14AB8"/>
    <w:rsid w:val="00B16438"/>
    <w:rsid w:val="00B178EE"/>
    <w:rsid w:val="00B25DC3"/>
    <w:rsid w:val="00B26652"/>
    <w:rsid w:val="00B266EA"/>
    <w:rsid w:val="00B36B74"/>
    <w:rsid w:val="00B60F4C"/>
    <w:rsid w:val="00B63293"/>
    <w:rsid w:val="00B65BDE"/>
    <w:rsid w:val="00B6749E"/>
    <w:rsid w:val="00B71B6F"/>
    <w:rsid w:val="00B769D1"/>
    <w:rsid w:val="00B80751"/>
    <w:rsid w:val="00B87C6F"/>
    <w:rsid w:val="00B91162"/>
    <w:rsid w:val="00B91EB5"/>
    <w:rsid w:val="00B92957"/>
    <w:rsid w:val="00B9617D"/>
    <w:rsid w:val="00BA16DE"/>
    <w:rsid w:val="00BA4696"/>
    <w:rsid w:val="00BA5EF9"/>
    <w:rsid w:val="00BA7CA1"/>
    <w:rsid w:val="00BB0509"/>
    <w:rsid w:val="00BB6C71"/>
    <w:rsid w:val="00BC0751"/>
    <w:rsid w:val="00BC5B69"/>
    <w:rsid w:val="00BD1679"/>
    <w:rsid w:val="00BD59B8"/>
    <w:rsid w:val="00BE1F73"/>
    <w:rsid w:val="00BF4F80"/>
    <w:rsid w:val="00C06194"/>
    <w:rsid w:val="00C07E30"/>
    <w:rsid w:val="00C229C6"/>
    <w:rsid w:val="00C3165A"/>
    <w:rsid w:val="00C33FF5"/>
    <w:rsid w:val="00C45350"/>
    <w:rsid w:val="00C4776D"/>
    <w:rsid w:val="00C512C0"/>
    <w:rsid w:val="00C54942"/>
    <w:rsid w:val="00C562CD"/>
    <w:rsid w:val="00C646BA"/>
    <w:rsid w:val="00C67FC4"/>
    <w:rsid w:val="00C7303C"/>
    <w:rsid w:val="00C75D8B"/>
    <w:rsid w:val="00C83B89"/>
    <w:rsid w:val="00C93494"/>
    <w:rsid w:val="00C94454"/>
    <w:rsid w:val="00C94C41"/>
    <w:rsid w:val="00CA265C"/>
    <w:rsid w:val="00CA63E4"/>
    <w:rsid w:val="00CA67E3"/>
    <w:rsid w:val="00CA6D75"/>
    <w:rsid w:val="00CB223B"/>
    <w:rsid w:val="00CB280E"/>
    <w:rsid w:val="00CB50D9"/>
    <w:rsid w:val="00CB5625"/>
    <w:rsid w:val="00CB5B21"/>
    <w:rsid w:val="00CC4A8F"/>
    <w:rsid w:val="00CD2E5A"/>
    <w:rsid w:val="00CE41BA"/>
    <w:rsid w:val="00CE4903"/>
    <w:rsid w:val="00CF4AA2"/>
    <w:rsid w:val="00CF5325"/>
    <w:rsid w:val="00D20FF3"/>
    <w:rsid w:val="00D248BD"/>
    <w:rsid w:val="00D3724F"/>
    <w:rsid w:val="00D414FB"/>
    <w:rsid w:val="00D41597"/>
    <w:rsid w:val="00D47053"/>
    <w:rsid w:val="00D47510"/>
    <w:rsid w:val="00D60512"/>
    <w:rsid w:val="00D70E5F"/>
    <w:rsid w:val="00D70E72"/>
    <w:rsid w:val="00D728DB"/>
    <w:rsid w:val="00D75BB6"/>
    <w:rsid w:val="00D76A90"/>
    <w:rsid w:val="00D76F8A"/>
    <w:rsid w:val="00D80CBC"/>
    <w:rsid w:val="00D81E64"/>
    <w:rsid w:val="00D85468"/>
    <w:rsid w:val="00D86937"/>
    <w:rsid w:val="00D96379"/>
    <w:rsid w:val="00DA245B"/>
    <w:rsid w:val="00DA44B0"/>
    <w:rsid w:val="00DB2D7A"/>
    <w:rsid w:val="00DB2FCE"/>
    <w:rsid w:val="00DB4AAE"/>
    <w:rsid w:val="00DB6DCD"/>
    <w:rsid w:val="00DB7CFD"/>
    <w:rsid w:val="00DC53A0"/>
    <w:rsid w:val="00DC5787"/>
    <w:rsid w:val="00DD70EC"/>
    <w:rsid w:val="00DE624C"/>
    <w:rsid w:val="00DE6F17"/>
    <w:rsid w:val="00DF4992"/>
    <w:rsid w:val="00E102FD"/>
    <w:rsid w:val="00E162FE"/>
    <w:rsid w:val="00E355C9"/>
    <w:rsid w:val="00E43502"/>
    <w:rsid w:val="00E45B97"/>
    <w:rsid w:val="00E46AAB"/>
    <w:rsid w:val="00E501D5"/>
    <w:rsid w:val="00E56EA6"/>
    <w:rsid w:val="00E64EF8"/>
    <w:rsid w:val="00E66B80"/>
    <w:rsid w:val="00E67BEF"/>
    <w:rsid w:val="00E70785"/>
    <w:rsid w:val="00E72169"/>
    <w:rsid w:val="00E85A03"/>
    <w:rsid w:val="00E87698"/>
    <w:rsid w:val="00E94C13"/>
    <w:rsid w:val="00EA6091"/>
    <w:rsid w:val="00EB0128"/>
    <w:rsid w:val="00EB7EDB"/>
    <w:rsid w:val="00EE120F"/>
    <w:rsid w:val="00EE5BAC"/>
    <w:rsid w:val="00EF0036"/>
    <w:rsid w:val="00EF49AC"/>
    <w:rsid w:val="00F01FE3"/>
    <w:rsid w:val="00F049E7"/>
    <w:rsid w:val="00F07515"/>
    <w:rsid w:val="00F16246"/>
    <w:rsid w:val="00F24BEE"/>
    <w:rsid w:val="00F25DDE"/>
    <w:rsid w:val="00F26D9B"/>
    <w:rsid w:val="00F31C88"/>
    <w:rsid w:val="00F322C1"/>
    <w:rsid w:val="00F32C9E"/>
    <w:rsid w:val="00F34ECC"/>
    <w:rsid w:val="00F43D2B"/>
    <w:rsid w:val="00F50828"/>
    <w:rsid w:val="00F518A9"/>
    <w:rsid w:val="00F543A1"/>
    <w:rsid w:val="00F62325"/>
    <w:rsid w:val="00F65482"/>
    <w:rsid w:val="00F66096"/>
    <w:rsid w:val="00F820E5"/>
    <w:rsid w:val="00F8261E"/>
    <w:rsid w:val="00FA294D"/>
    <w:rsid w:val="00FA5CB8"/>
    <w:rsid w:val="00FB0A40"/>
    <w:rsid w:val="00FB10C2"/>
    <w:rsid w:val="00FB3211"/>
    <w:rsid w:val="00FB3C22"/>
    <w:rsid w:val="00FC1930"/>
    <w:rsid w:val="00FC5C5B"/>
    <w:rsid w:val="00FD6FF0"/>
    <w:rsid w:val="00FD7DCE"/>
    <w:rsid w:val="00FE42F4"/>
    <w:rsid w:val="00FE5103"/>
    <w:rsid w:val="00FF3424"/>
    <w:rsid w:val="00FF38A0"/>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28834073">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3D77-0ACC-4824-A73F-2BE017E3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1290</Words>
  <Characters>7355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Ottobre 2014, n. 18                                                           Ufficio Studi Confcommercio - Imprese per l’Italia</vt:lpstr>
    </vt:vector>
  </TitlesOfParts>
  <Company>CONFCOMMERCIO</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Ottobre 2014, n. 18                                                           Ufficio Studi Confcommercio - Imprese per l’Italia</dc:title>
  <dc:creator>Stage08</dc:creator>
  <cp:lastModifiedBy>moretti</cp:lastModifiedBy>
  <cp:revision>2</cp:revision>
  <cp:lastPrinted>2014-10-09T08:44:00Z</cp:lastPrinted>
  <dcterms:created xsi:type="dcterms:W3CDTF">2014-12-09T09:28:00Z</dcterms:created>
  <dcterms:modified xsi:type="dcterms:W3CDTF">2014-12-09T09:28:00Z</dcterms:modified>
</cp:coreProperties>
</file>