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28" w:rsidRPr="00AC07AC" w:rsidRDefault="00BD59B8" w:rsidP="00FA5C25">
      <w:pPr>
        <w:spacing w:after="0" w:line="240" w:lineRule="auto"/>
        <w:jc w:val="right"/>
        <w:rPr>
          <w:rFonts w:ascii="Verdana" w:hAnsi="Verdana" w:cs="Arial"/>
          <w:sz w:val="20"/>
          <w:szCs w:val="20"/>
        </w:rPr>
      </w:pPr>
      <w:r>
        <w:rPr>
          <w:noProof/>
          <w:lang w:eastAsia="it-IT"/>
        </w:rPr>
        <w:drawing>
          <wp:anchor distT="0" distB="0" distL="114300" distR="114300" simplePos="0" relativeHeight="251659264" behindDoc="0" locked="0" layoutInCell="1" allowOverlap="1">
            <wp:simplePos x="0" y="0"/>
            <wp:positionH relativeFrom="column">
              <wp:posOffset>149225</wp:posOffset>
            </wp:positionH>
            <wp:positionV relativeFrom="paragraph">
              <wp:posOffset>-408940</wp:posOffset>
            </wp:positionV>
            <wp:extent cx="2400300" cy="1065530"/>
            <wp:effectExtent l="0" t="0" r="0" b="127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0655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BD59B8" w:rsidRPr="00AC07AC" w:rsidRDefault="00BD59B8" w:rsidP="00DB2FCE">
      <w:pPr>
        <w:spacing w:after="120"/>
        <w:jc w:val="center"/>
        <w:rPr>
          <w:rFonts w:ascii="Arial" w:hAnsi="Arial" w:cs="Arial"/>
          <w:b/>
          <w:sz w:val="28"/>
          <w:szCs w:val="28"/>
        </w:rPr>
      </w:pPr>
    </w:p>
    <w:p w:rsidR="00E64EF8" w:rsidRPr="00AC07AC" w:rsidRDefault="00EF49AC" w:rsidP="00DB2FCE">
      <w:pPr>
        <w:spacing w:after="120"/>
        <w:jc w:val="center"/>
        <w:rPr>
          <w:rFonts w:ascii="Arial" w:hAnsi="Arial" w:cs="Arial"/>
          <w:b/>
          <w:sz w:val="28"/>
          <w:szCs w:val="28"/>
        </w:rPr>
      </w:pPr>
      <w:r w:rsidRPr="00AC07AC">
        <w:rPr>
          <w:rFonts w:ascii="Arial" w:hAnsi="Arial" w:cs="Arial"/>
          <w:b/>
          <w:sz w:val="28"/>
          <w:szCs w:val="28"/>
        </w:rPr>
        <w:t xml:space="preserve">MIC - </w:t>
      </w:r>
      <w:proofErr w:type="spellStart"/>
      <w:r w:rsidR="00723FCE" w:rsidRPr="00AC07AC">
        <w:rPr>
          <w:rFonts w:ascii="Arial" w:hAnsi="Arial" w:cs="Arial"/>
          <w:b/>
          <w:sz w:val="28"/>
          <w:szCs w:val="28"/>
        </w:rPr>
        <w:t>Misery</w:t>
      </w:r>
      <w:proofErr w:type="spellEnd"/>
      <w:r w:rsidR="00723FCE" w:rsidRPr="00AC07AC">
        <w:rPr>
          <w:rFonts w:ascii="Arial" w:hAnsi="Arial" w:cs="Arial"/>
          <w:b/>
          <w:sz w:val="28"/>
          <w:szCs w:val="28"/>
        </w:rPr>
        <w:t xml:space="preserve"> Index </w:t>
      </w:r>
      <w:r w:rsidRPr="00AC07AC">
        <w:rPr>
          <w:rFonts w:ascii="Arial" w:hAnsi="Arial" w:cs="Arial"/>
          <w:b/>
          <w:sz w:val="28"/>
          <w:szCs w:val="28"/>
        </w:rPr>
        <w:t>Confcommercio</w:t>
      </w:r>
      <w:r w:rsidR="00614FE9" w:rsidRPr="00AC07AC">
        <w:rPr>
          <w:rFonts w:ascii="Arial" w:hAnsi="Arial" w:cs="Arial"/>
          <w:b/>
          <w:sz w:val="28"/>
          <w:szCs w:val="28"/>
        </w:rPr>
        <w:t xml:space="preserve"> </w:t>
      </w:r>
    </w:p>
    <w:p w:rsidR="00742E19" w:rsidRDefault="00997A5C" w:rsidP="00DB2FCE">
      <w:pPr>
        <w:spacing w:after="120"/>
        <w:jc w:val="center"/>
        <w:rPr>
          <w:rFonts w:ascii="Arial" w:hAnsi="Arial" w:cs="Arial"/>
          <w:b/>
          <w:i/>
          <w:sz w:val="24"/>
          <w:szCs w:val="24"/>
        </w:rPr>
      </w:pPr>
      <w:r w:rsidRPr="00A1342C">
        <w:rPr>
          <w:rFonts w:ascii="Arial" w:hAnsi="Arial" w:cs="Arial"/>
          <w:b/>
          <w:i/>
          <w:sz w:val="24"/>
          <w:szCs w:val="24"/>
        </w:rPr>
        <w:t>u</w:t>
      </w:r>
      <w:r w:rsidR="00614FE9" w:rsidRPr="00A1342C">
        <w:rPr>
          <w:rFonts w:ascii="Arial" w:hAnsi="Arial" w:cs="Arial"/>
          <w:b/>
          <w:i/>
          <w:sz w:val="24"/>
          <w:szCs w:val="24"/>
        </w:rPr>
        <w:t>na valutazione macro</w:t>
      </w:r>
      <w:r w:rsidR="00742E19" w:rsidRPr="00A1342C">
        <w:rPr>
          <w:rFonts w:ascii="Arial" w:hAnsi="Arial" w:cs="Arial"/>
          <w:b/>
          <w:i/>
          <w:sz w:val="24"/>
          <w:szCs w:val="24"/>
        </w:rPr>
        <w:t>economica del disagio sociale</w:t>
      </w:r>
    </w:p>
    <w:p w:rsidR="00DC53A0" w:rsidRPr="00094ABE" w:rsidRDefault="00DC53A0" w:rsidP="00DC53A0">
      <w:pPr>
        <w:pStyle w:val="Paragrafoelenco"/>
        <w:numPr>
          <w:ilvl w:val="0"/>
          <w:numId w:val="10"/>
        </w:numPr>
        <w:spacing w:after="120"/>
        <w:jc w:val="both"/>
        <w:rPr>
          <w:rFonts w:ascii="Arial" w:hAnsi="Arial" w:cs="Arial"/>
          <w:b/>
          <w:sz w:val="24"/>
          <w:szCs w:val="24"/>
        </w:rPr>
      </w:pPr>
      <w:r>
        <w:rPr>
          <w:rFonts w:ascii="Arial" w:hAnsi="Arial" w:cs="Arial"/>
          <w:b/>
          <w:sz w:val="24"/>
          <w:szCs w:val="24"/>
        </w:rPr>
        <w:t>A settembre l’indice di</w:t>
      </w:r>
      <w:r w:rsidRPr="00C562CD">
        <w:rPr>
          <w:rFonts w:ascii="Arial" w:hAnsi="Arial" w:cs="Arial"/>
          <w:b/>
          <w:sz w:val="24"/>
          <w:szCs w:val="24"/>
        </w:rPr>
        <w:t xml:space="preserve"> disagio </w:t>
      </w:r>
      <w:r w:rsidRPr="00134449">
        <w:rPr>
          <w:rFonts w:ascii="Arial" w:hAnsi="Arial" w:cs="Arial"/>
          <w:b/>
          <w:sz w:val="24"/>
          <w:szCs w:val="24"/>
        </w:rPr>
        <w:t xml:space="preserve">sociale </w:t>
      </w:r>
      <w:r>
        <w:rPr>
          <w:rFonts w:ascii="Arial" w:hAnsi="Arial" w:cs="Arial"/>
          <w:b/>
          <w:sz w:val="24"/>
          <w:szCs w:val="24"/>
        </w:rPr>
        <w:t>sale al 20,8 dal 20,7</w:t>
      </w:r>
      <w:r w:rsidRPr="00094ABE">
        <w:rPr>
          <w:rFonts w:ascii="Arial" w:hAnsi="Arial" w:cs="Arial"/>
          <w:b/>
          <w:sz w:val="24"/>
          <w:szCs w:val="24"/>
        </w:rPr>
        <w:t xml:space="preserve"> (</w:t>
      </w:r>
      <w:r>
        <w:rPr>
          <w:rFonts w:ascii="Arial" w:hAnsi="Arial" w:cs="Arial"/>
          <w:b/>
          <w:sz w:val="24"/>
          <w:szCs w:val="24"/>
        </w:rPr>
        <w:t>+</w:t>
      </w:r>
      <w:r w:rsidRPr="00094ABE">
        <w:rPr>
          <w:rFonts w:ascii="Arial" w:hAnsi="Arial" w:cs="Arial"/>
          <w:b/>
          <w:sz w:val="24"/>
          <w:szCs w:val="24"/>
        </w:rPr>
        <w:t>0,</w:t>
      </w:r>
      <w:r>
        <w:rPr>
          <w:rFonts w:ascii="Arial" w:hAnsi="Arial" w:cs="Arial"/>
          <w:b/>
          <w:sz w:val="24"/>
          <w:szCs w:val="24"/>
        </w:rPr>
        <w:t>1</w:t>
      </w:r>
      <w:r w:rsidRPr="00094ABE">
        <w:rPr>
          <w:rFonts w:ascii="Arial" w:hAnsi="Arial" w:cs="Arial"/>
          <w:b/>
          <w:sz w:val="24"/>
          <w:szCs w:val="24"/>
        </w:rPr>
        <w:t>)</w:t>
      </w:r>
    </w:p>
    <w:p w:rsidR="00DC53A0" w:rsidRPr="00094ABE" w:rsidRDefault="00DC53A0" w:rsidP="00DC53A0">
      <w:pPr>
        <w:pStyle w:val="Paragrafoelenco"/>
        <w:numPr>
          <w:ilvl w:val="0"/>
          <w:numId w:val="10"/>
        </w:numPr>
        <w:spacing w:after="120"/>
        <w:jc w:val="both"/>
        <w:rPr>
          <w:rFonts w:ascii="Arial" w:hAnsi="Arial" w:cs="Arial"/>
          <w:b/>
          <w:sz w:val="24"/>
          <w:szCs w:val="24"/>
        </w:rPr>
      </w:pPr>
      <w:r w:rsidRPr="00094ABE">
        <w:rPr>
          <w:rFonts w:ascii="Arial" w:hAnsi="Arial" w:cs="Arial"/>
          <w:b/>
          <w:sz w:val="24"/>
          <w:szCs w:val="24"/>
        </w:rPr>
        <w:t xml:space="preserve">La disoccupazione estesa </w:t>
      </w:r>
      <w:r>
        <w:rPr>
          <w:rFonts w:ascii="Arial" w:hAnsi="Arial" w:cs="Arial"/>
          <w:b/>
          <w:sz w:val="24"/>
          <w:szCs w:val="24"/>
        </w:rPr>
        <w:t>sale dello</w:t>
      </w:r>
      <w:r w:rsidRPr="00094ABE">
        <w:rPr>
          <w:rFonts w:ascii="Arial" w:hAnsi="Arial" w:cs="Arial"/>
          <w:b/>
          <w:sz w:val="24"/>
          <w:szCs w:val="24"/>
        </w:rPr>
        <w:t xml:space="preserve"> </w:t>
      </w:r>
      <w:r>
        <w:rPr>
          <w:rFonts w:ascii="Arial" w:hAnsi="Arial" w:cs="Arial"/>
          <w:b/>
          <w:sz w:val="24"/>
          <w:szCs w:val="24"/>
        </w:rPr>
        <w:t>0,1</w:t>
      </w:r>
      <w:r w:rsidRPr="00094ABE">
        <w:rPr>
          <w:rFonts w:ascii="Arial" w:hAnsi="Arial" w:cs="Arial"/>
          <w:b/>
          <w:sz w:val="24"/>
          <w:szCs w:val="24"/>
        </w:rPr>
        <w:t>% al 16,</w:t>
      </w:r>
      <w:r>
        <w:rPr>
          <w:rFonts w:ascii="Arial" w:hAnsi="Arial" w:cs="Arial"/>
          <w:b/>
          <w:sz w:val="24"/>
          <w:szCs w:val="24"/>
        </w:rPr>
        <w:t>4</w:t>
      </w:r>
      <w:r w:rsidRPr="00094ABE">
        <w:rPr>
          <w:rFonts w:ascii="Arial" w:hAnsi="Arial" w:cs="Arial"/>
          <w:b/>
          <w:sz w:val="24"/>
          <w:szCs w:val="24"/>
        </w:rPr>
        <w:t xml:space="preserve">% </w:t>
      </w:r>
    </w:p>
    <w:p w:rsidR="00DC53A0" w:rsidRPr="00094ABE" w:rsidRDefault="00DC53A0" w:rsidP="00DC53A0">
      <w:pPr>
        <w:pStyle w:val="Paragrafoelenco"/>
        <w:numPr>
          <w:ilvl w:val="0"/>
          <w:numId w:val="10"/>
        </w:numPr>
        <w:spacing w:after="120"/>
        <w:jc w:val="both"/>
        <w:rPr>
          <w:rFonts w:ascii="Arial" w:hAnsi="Arial" w:cs="Arial"/>
          <w:b/>
          <w:sz w:val="24"/>
          <w:szCs w:val="24"/>
        </w:rPr>
      </w:pPr>
      <w:r w:rsidRPr="00094ABE">
        <w:rPr>
          <w:rFonts w:ascii="Arial" w:hAnsi="Arial" w:cs="Arial"/>
          <w:b/>
          <w:sz w:val="24"/>
          <w:szCs w:val="24"/>
        </w:rPr>
        <w:t xml:space="preserve">L’inflazione dei beni e servizi ad alta frequenza d’acquisto </w:t>
      </w:r>
      <w:r>
        <w:rPr>
          <w:rFonts w:ascii="Arial" w:hAnsi="Arial" w:cs="Arial"/>
          <w:b/>
          <w:sz w:val="24"/>
          <w:szCs w:val="24"/>
        </w:rPr>
        <w:t>scende a zero</w:t>
      </w:r>
    </w:p>
    <w:p w:rsidR="00B032AE" w:rsidRPr="00B032AE" w:rsidRDefault="00B032AE" w:rsidP="00B032AE">
      <w:pPr>
        <w:pStyle w:val="Paragrafoelenco"/>
        <w:spacing w:after="120"/>
        <w:jc w:val="both"/>
        <w:rPr>
          <w:rFonts w:ascii="Arial" w:hAnsi="Arial" w:cs="Arial"/>
          <w:b/>
          <w:sz w:val="24"/>
          <w:szCs w:val="24"/>
        </w:rPr>
      </w:pPr>
    </w:p>
    <w:p w:rsidR="00D414FB" w:rsidRPr="00AF253B" w:rsidRDefault="00D414FB" w:rsidP="00D414FB">
      <w:pPr>
        <w:autoSpaceDE w:val="0"/>
        <w:autoSpaceDN w:val="0"/>
        <w:adjustRightInd w:val="0"/>
        <w:spacing w:after="0" w:line="240" w:lineRule="auto"/>
        <w:ind w:firstLine="284"/>
        <w:jc w:val="both"/>
        <w:rPr>
          <w:rFonts w:ascii="Arial" w:hAnsi="Arial" w:cs="Arial"/>
          <w:color w:val="000000"/>
          <w:sz w:val="24"/>
          <w:szCs w:val="24"/>
        </w:rPr>
      </w:pPr>
      <w:r w:rsidRPr="00AF253B">
        <w:rPr>
          <w:rFonts w:ascii="Arial" w:hAnsi="Arial" w:cs="Arial"/>
          <w:sz w:val="24"/>
          <w:szCs w:val="24"/>
        </w:rPr>
        <w:t xml:space="preserve">Il </w:t>
      </w:r>
      <w:r w:rsidRPr="00AF253B">
        <w:rPr>
          <w:rFonts w:ascii="Arial" w:hAnsi="Arial" w:cs="Arial"/>
          <w:b/>
          <w:color w:val="4F81BD" w:themeColor="accent1"/>
          <w:sz w:val="24"/>
          <w:szCs w:val="24"/>
        </w:rPr>
        <w:t>MIC</w:t>
      </w:r>
      <w:r w:rsidRPr="00AF253B">
        <w:rPr>
          <w:rStyle w:val="Rimandonotaapidipagina"/>
          <w:rFonts w:ascii="Arial" w:hAnsi="Arial" w:cs="Arial"/>
          <w:sz w:val="24"/>
          <w:szCs w:val="24"/>
        </w:rPr>
        <w:footnoteReference w:id="1"/>
      </w:r>
      <w:r w:rsidRPr="00AF253B">
        <w:rPr>
          <w:rFonts w:ascii="Arial" w:hAnsi="Arial" w:cs="Arial"/>
          <w:sz w:val="24"/>
          <w:szCs w:val="24"/>
        </w:rPr>
        <w:t xml:space="preserve"> di settembre si è attestato su un valore stimato di 20,8 punti, in aumento di 0,1 punti rispetto al mese di agosto. Ciò è imputabile </w:t>
      </w:r>
      <w:r>
        <w:rPr>
          <w:rFonts w:ascii="Arial" w:hAnsi="Arial" w:cs="Arial"/>
          <w:sz w:val="24"/>
          <w:szCs w:val="24"/>
        </w:rPr>
        <w:t>all’incremento</w:t>
      </w:r>
      <w:r w:rsidRPr="00AF253B">
        <w:rPr>
          <w:rFonts w:ascii="Arial" w:hAnsi="Arial" w:cs="Arial"/>
          <w:sz w:val="24"/>
          <w:szCs w:val="24"/>
        </w:rPr>
        <w:t xml:space="preserve"> della disoccupazione estesa</w:t>
      </w:r>
      <w:r>
        <w:rPr>
          <w:rFonts w:ascii="Arial" w:hAnsi="Arial" w:cs="Arial"/>
          <w:sz w:val="24"/>
          <w:szCs w:val="24"/>
        </w:rPr>
        <w:t>,</w:t>
      </w:r>
      <w:r w:rsidRPr="00AF253B">
        <w:rPr>
          <w:rFonts w:ascii="Arial" w:hAnsi="Arial" w:cs="Arial"/>
          <w:sz w:val="24"/>
          <w:szCs w:val="24"/>
        </w:rPr>
        <w:t xml:space="preserve"> che ha più che compensato la discesa dell’inflazione dei beni ad alta frequenza d’acquisto</w:t>
      </w:r>
      <w:r>
        <w:rPr>
          <w:rFonts w:ascii="Arial" w:hAnsi="Arial" w:cs="Arial"/>
          <w:sz w:val="24"/>
          <w:szCs w:val="24"/>
        </w:rPr>
        <w:t>, dallo 0,2% a 0,0%</w:t>
      </w:r>
      <w:r w:rsidRPr="00AF253B">
        <w:rPr>
          <w:rFonts w:ascii="Arial" w:hAnsi="Arial" w:cs="Arial"/>
          <w:sz w:val="24"/>
          <w:szCs w:val="24"/>
        </w:rPr>
        <w:t>.</w:t>
      </w:r>
    </w:p>
    <w:p w:rsidR="00D414FB" w:rsidRPr="00AF253B" w:rsidRDefault="00D414FB" w:rsidP="00D414FB">
      <w:pPr>
        <w:autoSpaceDE w:val="0"/>
        <w:autoSpaceDN w:val="0"/>
        <w:adjustRightInd w:val="0"/>
        <w:spacing w:after="0" w:line="240" w:lineRule="auto"/>
        <w:ind w:firstLine="284"/>
        <w:jc w:val="both"/>
        <w:rPr>
          <w:rFonts w:ascii="Arial" w:hAnsi="Arial" w:cs="Arial"/>
          <w:color w:val="000000"/>
          <w:sz w:val="24"/>
          <w:szCs w:val="24"/>
        </w:rPr>
      </w:pPr>
      <w:r w:rsidRPr="00AF253B">
        <w:rPr>
          <w:rFonts w:ascii="Arial" w:hAnsi="Arial" w:cs="Arial"/>
          <w:color w:val="000000"/>
          <w:sz w:val="24"/>
          <w:szCs w:val="24"/>
        </w:rPr>
        <w:t>A settembre il tasso di disoccupazione ufficiale è salito al 12,6%, in aumento di 1 decimo di punto rispetto ad agosto</w:t>
      </w:r>
      <w:r>
        <w:rPr>
          <w:rFonts w:ascii="Arial" w:hAnsi="Arial" w:cs="Arial"/>
          <w:color w:val="000000"/>
          <w:sz w:val="24"/>
          <w:szCs w:val="24"/>
        </w:rPr>
        <w:t xml:space="preserve"> e all’analogo mese del 2013</w:t>
      </w:r>
      <w:r w:rsidRPr="00AF253B">
        <w:rPr>
          <w:rFonts w:ascii="Arial" w:hAnsi="Arial" w:cs="Arial"/>
          <w:color w:val="000000"/>
          <w:sz w:val="24"/>
          <w:szCs w:val="24"/>
        </w:rPr>
        <w:t xml:space="preserve">. I disoccupati </w:t>
      </w:r>
      <w:r>
        <w:rPr>
          <w:rFonts w:ascii="Arial" w:hAnsi="Arial" w:cs="Arial"/>
          <w:color w:val="000000"/>
          <w:sz w:val="24"/>
          <w:szCs w:val="24"/>
        </w:rPr>
        <w:t>si sono attestati a</w:t>
      </w:r>
      <w:r w:rsidRPr="00AF253B">
        <w:rPr>
          <w:rFonts w:ascii="Arial" w:hAnsi="Arial" w:cs="Arial"/>
          <w:color w:val="000000"/>
          <w:sz w:val="24"/>
          <w:szCs w:val="24"/>
        </w:rPr>
        <w:t xml:space="preserve"> 3 milioni 236mila (+48mila unità sul mese precedente e +58mila rispetto allo stesso periodo del 2013). Il numero di occupati è </w:t>
      </w:r>
      <w:r>
        <w:rPr>
          <w:rFonts w:ascii="Arial" w:hAnsi="Arial" w:cs="Arial"/>
          <w:color w:val="000000"/>
          <w:sz w:val="24"/>
          <w:szCs w:val="24"/>
        </w:rPr>
        <w:t>salito</w:t>
      </w:r>
      <w:r w:rsidRPr="00AF253B">
        <w:rPr>
          <w:rFonts w:ascii="Arial" w:hAnsi="Arial" w:cs="Arial"/>
          <w:color w:val="000000"/>
          <w:sz w:val="24"/>
          <w:szCs w:val="24"/>
        </w:rPr>
        <w:t xml:space="preserve"> di 82mila unità rispetto ad agosto e di 130mila unità </w:t>
      </w:r>
      <w:r>
        <w:rPr>
          <w:rFonts w:ascii="Arial" w:hAnsi="Arial" w:cs="Arial"/>
          <w:color w:val="000000"/>
          <w:sz w:val="24"/>
          <w:szCs w:val="24"/>
        </w:rPr>
        <w:t xml:space="preserve">nei confronti dei </w:t>
      </w:r>
      <w:r w:rsidRPr="00AF253B">
        <w:rPr>
          <w:rFonts w:ascii="Arial" w:hAnsi="Arial" w:cs="Arial"/>
          <w:color w:val="000000"/>
          <w:sz w:val="24"/>
          <w:szCs w:val="24"/>
        </w:rPr>
        <w:t>12 mesi precedenti.</w:t>
      </w:r>
    </w:p>
    <w:p w:rsidR="00D414FB" w:rsidRPr="00AF253B" w:rsidRDefault="00D414FB" w:rsidP="00D414FB">
      <w:pPr>
        <w:autoSpaceDE w:val="0"/>
        <w:autoSpaceDN w:val="0"/>
        <w:adjustRightInd w:val="0"/>
        <w:spacing w:after="0" w:line="240" w:lineRule="auto"/>
        <w:ind w:firstLine="284"/>
        <w:jc w:val="both"/>
        <w:rPr>
          <w:rFonts w:ascii="Arial" w:hAnsi="Arial" w:cs="Arial"/>
          <w:sz w:val="24"/>
        </w:rPr>
      </w:pPr>
      <w:r w:rsidRPr="00AF253B">
        <w:rPr>
          <w:rFonts w:ascii="Arial" w:hAnsi="Arial" w:cs="Arial"/>
          <w:sz w:val="24"/>
        </w:rPr>
        <w:t>Nel mese di settembre sono state autorizzate 104,5 milioni di ore di CIG</w:t>
      </w:r>
      <w:r w:rsidRPr="00AF253B">
        <w:rPr>
          <w:rStyle w:val="Rimandonotaapidipagina"/>
          <w:rFonts w:ascii="Arial" w:hAnsi="Arial" w:cs="Arial"/>
          <w:sz w:val="24"/>
        </w:rPr>
        <w:footnoteReference w:id="2"/>
      </w:r>
      <w:r w:rsidRPr="00AF253B">
        <w:rPr>
          <w:rFonts w:ascii="Arial" w:hAnsi="Arial" w:cs="Arial"/>
          <w:sz w:val="24"/>
        </w:rPr>
        <w:t xml:space="preserve">, in </w:t>
      </w:r>
      <w:r>
        <w:rPr>
          <w:rFonts w:ascii="Arial" w:hAnsi="Arial" w:cs="Arial"/>
          <w:sz w:val="24"/>
        </w:rPr>
        <w:t>crescita</w:t>
      </w:r>
      <w:r w:rsidRPr="00AF253B">
        <w:rPr>
          <w:rFonts w:ascii="Arial" w:hAnsi="Arial" w:cs="Arial"/>
          <w:sz w:val="24"/>
        </w:rPr>
        <w:t xml:space="preserve"> rispetto ai 72,6 milioni circa di agosto e ai 91,8 milioni dello stesso mese del 2013. Le ore di CIG utilizzate </w:t>
      </w:r>
      <w:r w:rsidRPr="00AF253B">
        <w:rPr>
          <w:rFonts w:ascii="Arial" w:hAnsi="Arial" w:cs="Arial"/>
          <w:sz w:val="24"/>
          <w:szCs w:val="24"/>
        </w:rPr>
        <w:t>–</w:t>
      </w:r>
      <w:r w:rsidRPr="00AF253B">
        <w:rPr>
          <w:rFonts w:ascii="Arial" w:hAnsi="Arial" w:cs="Arial"/>
          <w:sz w:val="24"/>
        </w:rPr>
        <w:t xml:space="preserve"> destagionalizzate e </w:t>
      </w:r>
      <w:r w:rsidRPr="00AF253B">
        <w:rPr>
          <w:rFonts w:ascii="Arial" w:hAnsi="Arial" w:cs="Arial"/>
          <w:sz w:val="24"/>
          <w:szCs w:val="24"/>
        </w:rPr>
        <w:t xml:space="preserve">ricondotte poi a ULA – sono stimate in aumento di poco meno di 10mila unità, il che porta il numero di persone in CIG dalle 249mila circa di agosto alle 259mila di </w:t>
      </w:r>
      <w:r>
        <w:rPr>
          <w:rFonts w:ascii="Arial" w:hAnsi="Arial" w:cs="Arial"/>
          <w:sz w:val="24"/>
          <w:szCs w:val="24"/>
        </w:rPr>
        <w:t>settembre</w:t>
      </w:r>
      <w:r w:rsidRPr="00AF253B">
        <w:rPr>
          <w:rFonts w:ascii="Arial" w:hAnsi="Arial" w:cs="Arial"/>
          <w:sz w:val="24"/>
          <w:szCs w:val="24"/>
        </w:rPr>
        <w:t>.</w:t>
      </w:r>
    </w:p>
    <w:p w:rsidR="00D414FB" w:rsidRPr="00AF253B" w:rsidRDefault="00D414FB" w:rsidP="00D414FB">
      <w:pPr>
        <w:spacing w:after="0" w:line="240" w:lineRule="auto"/>
        <w:ind w:firstLine="284"/>
        <w:jc w:val="both"/>
        <w:rPr>
          <w:rFonts w:ascii="Arial" w:hAnsi="Arial" w:cs="Arial"/>
          <w:sz w:val="24"/>
          <w:szCs w:val="24"/>
        </w:rPr>
      </w:pPr>
      <w:r w:rsidRPr="00AF253B">
        <w:rPr>
          <w:rFonts w:ascii="Arial" w:hAnsi="Arial" w:cs="Arial"/>
          <w:sz w:val="24"/>
          <w:szCs w:val="24"/>
        </w:rPr>
        <w:t>Il numero di scoraggiati</w:t>
      </w:r>
      <w:r w:rsidRPr="00AF253B">
        <w:rPr>
          <w:rStyle w:val="Rimandonotaapidipagina"/>
          <w:rFonts w:ascii="Arial" w:hAnsi="Arial" w:cs="Arial"/>
          <w:sz w:val="24"/>
          <w:szCs w:val="24"/>
        </w:rPr>
        <w:footnoteReference w:id="3"/>
      </w:r>
      <w:r w:rsidRPr="00AF253B">
        <w:rPr>
          <w:rFonts w:ascii="Arial" w:hAnsi="Arial" w:cs="Arial"/>
          <w:sz w:val="24"/>
          <w:szCs w:val="24"/>
        </w:rPr>
        <w:t xml:space="preserve"> è stimato in </w:t>
      </w:r>
      <w:r>
        <w:rPr>
          <w:rFonts w:ascii="Arial" w:hAnsi="Arial" w:cs="Arial"/>
          <w:sz w:val="24"/>
          <w:szCs w:val="24"/>
        </w:rPr>
        <w:t>crescita</w:t>
      </w:r>
      <w:r w:rsidRPr="00AF253B">
        <w:rPr>
          <w:rFonts w:ascii="Arial" w:hAnsi="Arial" w:cs="Arial"/>
          <w:sz w:val="24"/>
          <w:szCs w:val="24"/>
        </w:rPr>
        <w:t xml:space="preserve"> di 8mila unità portando, a settembre, questa componente delle forze di lavoro potenziali a circa 872mila unità.</w:t>
      </w:r>
    </w:p>
    <w:p w:rsidR="00D414FB" w:rsidRPr="00B0110A" w:rsidRDefault="00D414FB" w:rsidP="00D414FB">
      <w:pPr>
        <w:autoSpaceDE w:val="0"/>
        <w:autoSpaceDN w:val="0"/>
        <w:adjustRightInd w:val="0"/>
        <w:spacing w:after="0" w:line="240" w:lineRule="auto"/>
        <w:ind w:firstLine="284"/>
        <w:jc w:val="both"/>
        <w:rPr>
          <w:rFonts w:ascii="Arial" w:hAnsi="Arial" w:cs="Arial"/>
          <w:spacing w:val="-20"/>
          <w:sz w:val="24"/>
          <w:szCs w:val="24"/>
        </w:rPr>
      </w:pPr>
      <w:r w:rsidRPr="00AF253B">
        <w:rPr>
          <w:rFonts w:ascii="Arial" w:hAnsi="Arial" w:cs="Arial"/>
          <w:sz w:val="24"/>
          <w:szCs w:val="24"/>
        </w:rPr>
        <w:t xml:space="preserve">A settembre </w:t>
      </w:r>
      <w:r>
        <w:rPr>
          <w:rFonts w:ascii="Arial" w:hAnsi="Arial" w:cs="Arial"/>
          <w:sz w:val="24"/>
          <w:szCs w:val="24"/>
        </w:rPr>
        <w:t>l’incremento</w:t>
      </w:r>
      <w:r w:rsidRPr="00AF253B">
        <w:rPr>
          <w:rFonts w:ascii="Arial" w:hAnsi="Arial" w:cs="Arial"/>
          <w:sz w:val="24"/>
          <w:szCs w:val="24"/>
        </w:rPr>
        <w:t xml:space="preserve"> </w:t>
      </w:r>
      <w:r>
        <w:rPr>
          <w:rFonts w:ascii="Arial" w:hAnsi="Arial" w:cs="Arial"/>
          <w:sz w:val="24"/>
          <w:szCs w:val="24"/>
        </w:rPr>
        <w:t>dei disoccupati, ufficiali e non,</w:t>
      </w:r>
      <w:r w:rsidRPr="00AF253B">
        <w:rPr>
          <w:rFonts w:ascii="Arial" w:hAnsi="Arial" w:cs="Arial"/>
          <w:sz w:val="24"/>
          <w:szCs w:val="24"/>
        </w:rPr>
        <w:t xml:space="preserve"> </w:t>
      </w:r>
      <w:r>
        <w:rPr>
          <w:rFonts w:ascii="Arial" w:hAnsi="Arial" w:cs="Arial"/>
          <w:sz w:val="24"/>
          <w:szCs w:val="24"/>
        </w:rPr>
        <w:t>ha</w:t>
      </w:r>
      <w:r w:rsidRPr="00AF253B">
        <w:rPr>
          <w:rFonts w:ascii="Arial" w:hAnsi="Arial" w:cs="Arial"/>
          <w:sz w:val="24"/>
          <w:szCs w:val="24"/>
        </w:rPr>
        <w:t xml:space="preserve"> determinato un innalzamento </w:t>
      </w:r>
      <w:r w:rsidRPr="00B91EB5">
        <w:rPr>
          <w:rFonts w:ascii="Arial" w:hAnsi="Arial" w:cs="Arial"/>
          <w:spacing w:val="-16"/>
          <w:sz w:val="24"/>
          <w:szCs w:val="24"/>
        </w:rPr>
        <w:t>di 0,1% percentuali</w:t>
      </w:r>
      <w:r w:rsidRPr="00AF253B">
        <w:rPr>
          <w:rFonts w:ascii="Arial" w:hAnsi="Arial" w:cs="Arial"/>
          <w:sz w:val="24"/>
          <w:szCs w:val="24"/>
        </w:rPr>
        <w:t xml:space="preserve"> del tasso di disoccupazione esteso salito al 16,4%</w:t>
      </w:r>
      <w:r>
        <w:rPr>
          <w:rFonts w:ascii="Arial" w:hAnsi="Arial" w:cs="Arial"/>
          <w:sz w:val="24"/>
          <w:szCs w:val="24"/>
        </w:rPr>
        <w:t xml:space="preserve"> </w:t>
      </w:r>
      <w:r w:rsidRPr="00B0110A">
        <w:rPr>
          <w:rFonts w:ascii="Arial" w:hAnsi="Arial" w:cs="Arial"/>
          <w:spacing w:val="-20"/>
          <w:sz w:val="24"/>
          <w:szCs w:val="24"/>
        </w:rPr>
        <w:t xml:space="preserve">( </w:t>
      </w:r>
    </w:p>
    <w:p w:rsidR="00D414FB" w:rsidRPr="00AF253B" w:rsidRDefault="00D414FB" w:rsidP="00D414FB">
      <w:pPr>
        <w:autoSpaceDE w:val="0"/>
        <w:autoSpaceDN w:val="0"/>
        <w:adjustRightInd w:val="0"/>
        <w:spacing w:after="0" w:line="240" w:lineRule="auto"/>
        <w:ind w:firstLine="284"/>
        <w:jc w:val="both"/>
        <w:rPr>
          <w:rFonts w:ascii="Arial" w:hAnsi="Arial" w:cs="Arial"/>
          <w:sz w:val="24"/>
          <w:szCs w:val="24"/>
        </w:rPr>
      </w:pPr>
      <w:r w:rsidRPr="00AF253B">
        <w:rPr>
          <w:rFonts w:ascii="Arial" w:hAnsi="Arial" w:cs="Arial"/>
          <w:sz w:val="24"/>
          <w:szCs w:val="24"/>
        </w:rPr>
        <w:t xml:space="preserve">Nello stesso mese l’inflazione dei beni e dei servizi ad alta frequenza è scesa </w:t>
      </w:r>
      <w:r>
        <w:rPr>
          <w:rFonts w:ascii="Arial" w:hAnsi="Arial" w:cs="Arial"/>
          <w:sz w:val="24"/>
          <w:szCs w:val="24"/>
        </w:rPr>
        <w:t>a zero</w:t>
      </w:r>
      <w:r w:rsidRPr="00AF253B">
        <w:rPr>
          <w:rFonts w:ascii="Arial" w:hAnsi="Arial" w:cs="Arial"/>
          <w:sz w:val="24"/>
          <w:szCs w:val="24"/>
        </w:rPr>
        <w:t xml:space="preserve"> (+0,2% ad agosto). </w:t>
      </w:r>
    </w:p>
    <w:p w:rsidR="00D414FB" w:rsidRDefault="00D414FB" w:rsidP="00D414FB">
      <w:pPr>
        <w:autoSpaceDE w:val="0"/>
        <w:autoSpaceDN w:val="0"/>
        <w:adjustRightInd w:val="0"/>
        <w:spacing w:after="0" w:line="240" w:lineRule="auto"/>
        <w:ind w:firstLine="284"/>
        <w:jc w:val="both"/>
        <w:rPr>
          <w:rFonts w:ascii="Arial" w:hAnsi="Arial" w:cs="Arial"/>
          <w:sz w:val="24"/>
          <w:szCs w:val="24"/>
        </w:rPr>
      </w:pPr>
      <w:r w:rsidRPr="00AF253B">
        <w:rPr>
          <w:rFonts w:ascii="Arial" w:hAnsi="Arial" w:cs="Arial"/>
          <w:sz w:val="24"/>
          <w:szCs w:val="24"/>
        </w:rPr>
        <w:t xml:space="preserve">La figura 1 mostra le due componenti del MIC (in rosso l’inflazione dei beni e servizi ad alta frequenza d’acquisto ed in blu la disoccupazione estesa), mentre l’ingrandimento riporta l’andamento complessivo del disagio sociale negli ultimi dieci mesi. Nel medio periodo il MIC è passato dai 12 punti del 2007 a valori superiori al 21% nel 2013 e nei mesi iniziali del 2014. La tendenza del MIC a permanere su livelli storicamente elevati, nonostante la discesa del tasso d’inflazione dei beni ad alta frequenza d’acquisto, deriva ormai quasi esclusivamente dalla dimensione delle disoccupazione estesa. </w:t>
      </w:r>
    </w:p>
    <w:p w:rsidR="00710FD0" w:rsidRDefault="00D414FB" w:rsidP="00D414FB">
      <w:pPr>
        <w:autoSpaceDE w:val="0"/>
        <w:autoSpaceDN w:val="0"/>
        <w:adjustRightInd w:val="0"/>
        <w:spacing w:after="0" w:line="240" w:lineRule="auto"/>
        <w:ind w:firstLine="284"/>
        <w:jc w:val="both"/>
        <w:rPr>
          <w:rFonts w:ascii="Arial" w:hAnsi="Arial" w:cs="Arial"/>
          <w:sz w:val="24"/>
          <w:szCs w:val="24"/>
        </w:rPr>
      </w:pPr>
      <w:r w:rsidRPr="00AF253B">
        <w:rPr>
          <w:rFonts w:ascii="Arial" w:hAnsi="Arial" w:cs="Arial"/>
          <w:sz w:val="24"/>
          <w:szCs w:val="24"/>
        </w:rPr>
        <w:t>Solo con un consolidamento dei miglioramenti registrati sul versante dell’occupazione, di dimensione</w:t>
      </w:r>
      <w:r>
        <w:rPr>
          <w:rFonts w:ascii="Arial" w:hAnsi="Arial" w:cs="Arial"/>
          <w:sz w:val="24"/>
          <w:szCs w:val="24"/>
        </w:rPr>
        <w:t xml:space="preserve"> tale da </w:t>
      </w:r>
      <w:r w:rsidRPr="00AF253B">
        <w:rPr>
          <w:rFonts w:ascii="Arial" w:hAnsi="Arial" w:cs="Arial"/>
          <w:sz w:val="24"/>
          <w:szCs w:val="24"/>
        </w:rPr>
        <w:t>assorbire una parte dei disoccupati</w:t>
      </w:r>
      <w:r>
        <w:rPr>
          <w:rFonts w:ascii="Arial" w:hAnsi="Arial" w:cs="Arial"/>
          <w:sz w:val="24"/>
          <w:szCs w:val="24"/>
        </w:rPr>
        <w:t>,</w:t>
      </w:r>
      <w:r w:rsidRPr="00AF253B">
        <w:rPr>
          <w:rFonts w:ascii="Arial" w:hAnsi="Arial" w:cs="Arial"/>
          <w:sz w:val="24"/>
          <w:szCs w:val="24"/>
        </w:rPr>
        <w:t xml:space="preserve"> ufficiali e non, l’area del disagio sociale potrà mostrare</w:t>
      </w:r>
      <w:r>
        <w:rPr>
          <w:rFonts w:ascii="Arial" w:hAnsi="Arial" w:cs="Arial"/>
          <w:sz w:val="24"/>
          <w:szCs w:val="24"/>
        </w:rPr>
        <w:t>,</w:t>
      </w:r>
      <w:r w:rsidRPr="00AF253B">
        <w:rPr>
          <w:rFonts w:ascii="Arial" w:hAnsi="Arial" w:cs="Arial"/>
          <w:sz w:val="24"/>
          <w:szCs w:val="24"/>
        </w:rPr>
        <w:t xml:space="preserve"> nei prossimi mesi</w:t>
      </w:r>
      <w:r>
        <w:rPr>
          <w:rFonts w:ascii="Arial" w:hAnsi="Arial" w:cs="Arial"/>
          <w:sz w:val="24"/>
          <w:szCs w:val="24"/>
        </w:rPr>
        <w:t>,</w:t>
      </w:r>
      <w:r w:rsidRPr="00AF253B">
        <w:rPr>
          <w:rFonts w:ascii="Arial" w:hAnsi="Arial" w:cs="Arial"/>
          <w:sz w:val="24"/>
          <w:szCs w:val="24"/>
        </w:rPr>
        <w:t xml:space="preserve"> un ridimensionamento.</w:t>
      </w:r>
      <w:r>
        <w:rPr>
          <w:rFonts w:ascii="Arial" w:hAnsi="Arial" w:cs="Arial"/>
          <w:sz w:val="24"/>
          <w:szCs w:val="24"/>
        </w:rPr>
        <w:t xml:space="preserve"> </w:t>
      </w:r>
    </w:p>
    <w:p w:rsidR="00D414FB" w:rsidRDefault="00D414FB" w:rsidP="00D414FB">
      <w:pPr>
        <w:autoSpaceDE w:val="0"/>
        <w:autoSpaceDN w:val="0"/>
        <w:adjustRightInd w:val="0"/>
        <w:spacing w:after="0" w:line="240" w:lineRule="auto"/>
        <w:ind w:firstLine="284"/>
        <w:jc w:val="both"/>
        <w:rPr>
          <w:rFonts w:ascii="Arial" w:hAnsi="Arial" w:cs="Arial"/>
          <w:sz w:val="24"/>
          <w:szCs w:val="24"/>
        </w:rPr>
      </w:pPr>
    </w:p>
    <w:p w:rsidR="00B16438" w:rsidRDefault="00B16438" w:rsidP="00B16438">
      <w:pPr>
        <w:spacing w:after="0" w:line="240" w:lineRule="auto"/>
        <w:jc w:val="center"/>
        <w:rPr>
          <w:rFonts w:ascii="Arial" w:eastAsia="Times New Roman" w:hAnsi="Arial" w:cs="Arial"/>
          <w:b/>
          <w:bCs/>
          <w:color w:val="000000"/>
          <w:sz w:val="20"/>
          <w:szCs w:val="20"/>
          <w:lang w:eastAsia="it-IT"/>
        </w:rPr>
      </w:pPr>
      <w:r w:rsidRPr="002142C9">
        <w:rPr>
          <w:rFonts w:ascii="Arial" w:eastAsia="Times New Roman" w:hAnsi="Arial" w:cs="Arial"/>
          <w:b/>
          <w:bCs/>
          <w:color w:val="000000"/>
          <w:sz w:val="20"/>
          <w:szCs w:val="20"/>
          <w:lang w:eastAsia="it-IT"/>
        </w:rPr>
        <w:t xml:space="preserve">Tabella 1: Prezzi, disoccupazione e </w:t>
      </w:r>
      <w:proofErr w:type="spellStart"/>
      <w:r w:rsidRPr="002142C9">
        <w:rPr>
          <w:rFonts w:ascii="Arial" w:eastAsia="Times New Roman" w:hAnsi="Arial" w:cs="Arial"/>
          <w:b/>
          <w:bCs/>
          <w:color w:val="000000"/>
          <w:sz w:val="20"/>
          <w:szCs w:val="20"/>
          <w:lang w:eastAsia="it-IT"/>
        </w:rPr>
        <w:t>Misery</w:t>
      </w:r>
      <w:proofErr w:type="spellEnd"/>
      <w:r w:rsidRPr="002142C9">
        <w:rPr>
          <w:rFonts w:ascii="Arial" w:eastAsia="Times New Roman" w:hAnsi="Arial" w:cs="Arial"/>
          <w:b/>
          <w:bCs/>
          <w:color w:val="000000"/>
          <w:sz w:val="20"/>
          <w:szCs w:val="20"/>
          <w:lang w:eastAsia="it-IT"/>
        </w:rPr>
        <w:t xml:space="preserve"> Index Confcommercio (MIC) in Italia</w:t>
      </w:r>
    </w:p>
    <w:tbl>
      <w:tblPr>
        <w:tblW w:w="8183" w:type="dxa"/>
        <w:jc w:val="center"/>
        <w:tblCellMar>
          <w:left w:w="70" w:type="dxa"/>
          <w:right w:w="70" w:type="dxa"/>
        </w:tblCellMar>
        <w:tblLook w:val="04A0" w:firstRow="1" w:lastRow="0" w:firstColumn="1" w:lastColumn="0" w:noHBand="0" w:noVBand="1"/>
      </w:tblPr>
      <w:tblGrid>
        <w:gridCol w:w="1759"/>
        <w:gridCol w:w="1606"/>
        <w:gridCol w:w="1606"/>
        <w:gridCol w:w="1606"/>
        <w:gridCol w:w="1606"/>
      </w:tblGrid>
      <w:tr w:rsidR="00600AC1" w:rsidRPr="00600AC1" w:rsidTr="00252B02">
        <w:trPr>
          <w:trHeight w:val="316"/>
          <w:jc w:val="center"/>
        </w:trPr>
        <w:tc>
          <w:tcPr>
            <w:tcW w:w="1759" w:type="dxa"/>
            <w:tcBorders>
              <w:top w:val="double" w:sz="4" w:space="0" w:color="auto"/>
              <w:left w:val="nil"/>
              <w:bottom w:val="single" w:sz="8" w:space="0" w:color="auto"/>
              <w:right w:val="nil"/>
            </w:tcBorders>
            <w:shd w:val="clear" w:color="auto" w:fill="auto"/>
            <w:vAlign w:val="center"/>
            <w:hideMark/>
          </w:tcPr>
          <w:p w:rsidR="00600AC1" w:rsidRPr="00600AC1" w:rsidRDefault="00600AC1" w:rsidP="00600AC1">
            <w:pPr>
              <w:spacing w:after="0" w:line="300" w:lineRule="auto"/>
              <w:rPr>
                <w:rFonts w:ascii="Arial" w:eastAsia="Times New Roman" w:hAnsi="Arial" w:cs="Arial"/>
                <w:b/>
                <w:bCs/>
                <w:color w:val="000000"/>
                <w:sz w:val="16"/>
                <w:szCs w:val="16"/>
                <w:lang w:eastAsia="it-IT"/>
              </w:rPr>
            </w:pPr>
            <w:r w:rsidRPr="00600AC1">
              <w:rPr>
                <w:rFonts w:ascii="Arial" w:eastAsia="Times New Roman" w:hAnsi="Arial" w:cs="Arial"/>
                <w:b/>
                <w:bCs/>
                <w:color w:val="000000"/>
                <w:sz w:val="16"/>
                <w:szCs w:val="16"/>
                <w:lang w:eastAsia="it-IT"/>
              </w:rPr>
              <w:lastRenderedPageBreak/>
              <w:t>anno</w:t>
            </w:r>
          </w:p>
        </w:tc>
        <w:tc>
          <w:tcPr>
            <w:tcW w:w="1606" w:type="dxa"/>
            <w:tcBorders>
              <w:top w:val="double" w:sz="4" w:space="0" w:color="auto"/>
              <w:left w:val="nil"/>
              <w:bottom w:val="single" w:sz="8" w:space="0" w:color="auto"/>
              <w:right w:val="nil"/>
            </w:tcBorders>
            <w:shd w:val="clear" w:color="auto" w:fill="auto"/>
            <w:vAlign w:val="center"/>
            <w:hideMark/>
          </w:tcPr>
          <w:p w:rsidR="00600AC1" w:rsidRPr="00600AC1" w:rsidRDefault="00600AC1" w:rsidP="00600AC1">
            <w:pPr>
              <w:spacing w:after="0" w:line="300" w:lineRule="auto"/>
              <w:jc w:val="center"/>
              <w:rPr>
                <w:rFonts w:ascii="Arial" w:eastAsia="Times New Roman" w:hAnsi="Arial" w:cs="Arial"/>
                <w:b/>
                <w:bCs/>
                <w:color w:val="000000"/>
                <w:sz w:val="16"/>
                <w:szCs w:val="16"/>
                <w:lang w:eastAsia="it-IT"/>
              </w:rPr>
            </w:pPr>
            <w:r w:rsidRPr="00600AC1">
              <w:rPr>
                <w:rFonts w:ascii="Arial" w:eastAsia="Times New Roman" w:hAnsi="Arial" w:cs="Arial"/>
                <w:b/>
                <w:bCs/>
                <w:color w:val="000000"/>
                <w:sz w:val="16"/>
                <w:szCs w:val="16"/>
                <w:lang w:eastAsia="it-IT"/>
              </w:rPr>
              <w:t>disoccupazione ufficiale (%)</w:t>
            </w:r>
          </w:p>
        </w:tc>
        <w:tc>
          <w:tcPr>
            <w:tcW w:w="1606" w:type="dxa"/>
            <w:tcBorders>
              <w:top w:val="double" w:sz="4" w:space="0" w:color="auto"/>
              <w:left w:val="nil"/>
              <w:bottom w:val="single" w:sz="8" w:space="0" w:color="auto"/>
              <w:right w:val="nil"/>
            </w:tcBorders>
            <w:shd w:val="clear" w:color="auto" w:fill="auto"/>
            <w:vAlign w:val="center"/>
            <w:hideMark/>
          </w:tcPr>
          <w:p w:rsidR="00600AC1" w:rsidRPr="00600AC1" w:rsidRDefault="00600AC1" w:rsidP="00600AC1">
            <w:pPr>
              <w:spacing w:after="0" w:line="300" w:lineRule="auto"/>
              <w:jc w:val="center"/>
              <w:rPr>
                <w:rFonts w:ascii="Arial" w:eastAsia="Times New Roman" w:hAnsi="Arial" w:cs="Arial"/>
                <w:b/>
                <w:bCs/>
                <w:color w:val="000000"/>
                <w:sz w:val="16"/>
                <w:szCs w:val="16"/>
                <w:lang w:eastAsia="it-IT"/>
              </w:rPr>
            </w:pPr>
            <w:r w:rsidRPr="00600AC1">
              <w:rPr>
                <w:rFonts w:ascii="Arial" w:eastAsia="Times New Roman" w:hAnsi="Arial" w:cs="Arial"/>
                <w:b/>
                <w:bCs/>
                <w:color w:val="000000"/>
                <w:sz w:val="16"/>
                <w:szCs w:val="16"/>
                <w:lang w:eastAsia="it-IT"/>
              </w:rPr>
              <w:t>disoccupazione estesa (%) *</w:t>
            </w:r>
          </w:p>
        </w:tc>
        <w:tc>
          <w:tcPr>
            <w:tcW w:w="1606" w:type="dxa"/>
            <w:tcBorders>
              <w:top w:val="double" w:sz="4" w:space="0" w:color="auto"/>
              <w:left w:val="nil"/>
              <w:bottom w:val="single" w:sz="8" w:space="0" w:color="auto"/>
              <w:right w:val="nil"/>
            </w:tcBorders>
            <w:shd w:val="clear" w:color="auto" w:fill="auto"/>
            <w:vAlign w:val="center"/>
            <w:hideMark/>
          </w:tcPr>
          <w:p w:rsidR="00600AC1" w:rsidRPr="00600AC1" w:rsidRDefault="00600AC1" w:rsidP="00600AC1">
            <w:pPr>
              <w:spacing w:after="0" w:line="300" w:lineRule="auto"/>
              <w:jc w:val="center"/>
              <w:rPr>
                <w:rFonts w:ascii="Arial" w:eastAsia="Times New Roman" w:hAnsi="Arial" w:cs="Arial"/>
                <w:b/>
                <w:bCs/>
                <w:color w:val="000000"/>
                <w:sz w:val="16"/>
                <w:szCs w:val="16"/>
                <w:lang w:eastAsia="it-IT"/>
              </w:rPr>
            </w:pPr>
            <w:r w:rsidRPr="00600AC1">
              <w:rPr>
                <w:rFonts w:ascii="Arial" w:eastAsia="Times New Roman" w:hAnsi="Arial" w:cs="Arial"/>
                <w:b/>
                <w:bCs/>
                <w:color w:val="000000"/>
                <w:sz w:val="16"/>
                <w:szCs w:val="16"/>
                <w:lang w:eastAsia="it-IT"/>
              </w:rPr>
              <w:t>Δ% prezzi-alta frequenza di acquisto</w:t>
            </w:r>
          </w:p>
        </w:tc>
        <w:tc>
          <w:tcPr>
            <w:tcW w:w="1606" w:type="dxa"/>
            <w:tcBorders>
              <w:top w:val="double" w:sz="4" w:space="0" w:color="auto"/>
              <w:left w:val="nil"/>
              <w:bottom w:val="single" w:sz="8" w:space="0" w:color="auto"/>
              <w:right w:val="nil"/>
            </w:tcBorders>
            <w:shd w:val="clear" w:color="auto" w:fill="auto"/>
            <w:vAlign w:val="center"/>
            <w:hideMark/>
          </w:tcPr>
          <w:p w:rsidR="00600AC1" w:rsidRPr="00600AC1" w:rsidRDefault="00600AC1" w:rsidP="00600AC1">
            <w:pPr>
              <w:spacing w:after="0" w:line="300" w:lineRule="auto"/>
              <w:jc w:val="center"/>
              <w:rPr>
                <w:rFonts w:ascii="Arial" w:eastAsia="Times New Roman" w:hAnsi="Arial" w:cs="Arial"/>
                <w:b/>
                <w:bCs/>
                <w:color w:val="000000"/>
                <w:sz w:val="16"/>
                <w:szCs w:val="16"/>
                <w:lang w:eastAsia="it-IT"/>
              </w:rPr>
            </w:pPr>
            <w:r w:rsidRPr="00600AC1">
              <w:rPr>
                <w:rFonts w:ascii="Arial" w:eastAsia="Times New Roman" w:hAnsi="Arial" w:cs="Arial"/>
                <w:b/>
                <w:bCs/>
                <w:color w:val="000000"/>
                <w:sz w:val="16"/>
                <w:szCs w:val="16"/>
                <w:lang w:eastAsia="it-IT"/>
              </w:rPr>
              <w:t>MIC*</w:t>
            </w:r>
          </w:p>
        </w:tc>
      </w:tr>
      <w:tr w:rsidR="00600AC1" w:rsidRPr="00600AC1" w:rsidTr="00252B02">
        <w:trPr>
          <w:trHeight w:val="316"/>
          <w:jc w:val="center"/>
        </w:trPr>
        <w:tc>
          <w:tcPr>
            <w:tcW w:w="1759" w:type="dxa"/>
            <w:tcBorders>
              <w:top w:val="nil"/>
              <w:left w:val="nil"/>
              <w:bottom w:val="nil"/>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2007</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6,1</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7,9</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2,9</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12,0</w:t>
            </w:r>
          </w:p>
        </w:tc>
      </w:tr>
      <w:tr w:rsidR="00600AC1" w:rsidRPr="00600AC1" w:rsidTr="00252B02">
        <w:trPr>
          <w:trHeight w:val="316"/>
          <w:jc w:val="center"/>
        </w:trPr>
        <w:tc>
          <w:tcPr>
            <w:tcW w:w="1759" w:type="dxa"/>
            <w:tcBorders>
              <w:top w:val="nil"/>
              <w:left w:val="nil"/>
              <w:bottom w:val="nil"/>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2008</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6,8</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8,7</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4,9</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14,6</w:t>
            </w:r>
          </w:p>
        </w:tc>
      </w:tr>
      <w:tr w:rsidR="00600AC1" w:rsidRPr="00600AC1" w:rsidTr="00252B02">
        <w:trPr>
          <w:trHeight w:val="316"/>
          <w:jc w:val="center"/>
        </w:trPr>
        <w:tc>
          <w:tcPr>
            <w:tcW w:w="1759" w:type="dxa"/>
            <w:tcBorders>
              <w:top w:val="nil"/>
              <w:left w:val="nil"/>
              <w:bottom w:val="nil"/>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2009</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7,8</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10,7</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0,8</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14,1</w:t>
            </w:r>
          </w:p>
        </w:tc>
      </w:tr>
      <w:tr w:rsidR="00600AC1" w:rsidRPr="00600AC1" w:rsidTr="00252B02">
        <w:trPr>
          <w:trHeight w:val="316"/>
          <w:jc w:val="center"/>
        </w:trPr>
        <w:tc>
          <w:tcPr>
            <w:tcW w:w="1759" w:type="dxa"/>
            <w:tcBorders>
              <w:top w:val="nil"/>
              <w:left w:val="nil"/>
              <w:bottom w:val="nil"/>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2010</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8,4</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11,6</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2,0</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16,1</w:t>
            </w:r>
          </w:p>
        </w:tc>
      </w:tr>
      <w:tr w:rsidR="00600AC1" w:rsidRPr="00600AC1" w:rsidTr="00252B02">
        <w:trPr>
          <w:trHeight w:val="316"/>
          <w:jc w:val="center"/>
        </w:trPr>
        <w:tc>
          <w:tcPr>
            <w:tcW w:w="1759" w:type="dxa"/>
            <w:tcBorders>
              <w:top w:val="nil"/>
              <w:left w:val="nil"/>
              <w:bottom w:val="nil"/>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2011</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8,4</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11,6</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3,6</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17,3</w:t>
            </w:r>
          </w:p>
        </w:tc>
      </w:tr>
      <w:tr w:rsidR="00600AC1" w:rsidRPr="00600AC1" w:rsidTr="00252B02">
        <w:trPr>
          <w:trHeight w:val="316"/>
          <w:jc w:val="center"/>
        </w:trPr>
        <w:tc>
          <w:tcPr>
            <w:tcW w:w="1759" w:type="dxa"/>
            <w:tcBorders>
              <w:top w:val="nil"/>
              <w:left w:val="nil"/>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2012</w:t>
            </w:r>
          </w:p>
        </w:tc>
        <w:tc>
          <w:tcPr>
            <w:tcW w:w="1606" w:type="dxa"/>
            <w:tcBorders>
              <w:top w:val="nil"/>
              <w:left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10,7</w:t>
            </w:r>
          </w:p>
        </w:tc>
        <w:tc>
          <w:tcPr>
            <w:tcW w:w="1606" w:type="dxa"/>
            <w:tcBorders>
              <w:top w:val="nil"/>
              <w:left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14,0</w:t>
            </w:r>
          </w:p>
        </w:tc>
        <w:tc>
          <w:tcPr>
            <w:tcW w:w="1606" w:type="dxa"/>
            <w:tcBorders>
              <w:top w:val="nil"/>
              <w:left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4,3</w:t>
            </w:r>
          </w:p>
        </w:tc>
        <w:tc>
          <w:tcPr>
            <w:tcW w:w="1606" w:type="dxa"/>
            <w:tcBorders>
              <w:top w:val="nil"/>
              <w:left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20,9</w:t>
            </w:r>
          </w:p>
        </w:tc>
      </w:tr>
      <w:tr w:rsidR="00600AC1" w:rsidRPr="00600AC1" w:rsidTr="00252B02">
        <w:trPr>
          <w:trHeight w:val="316"/>
          <w:jc w:val="center"/>
        </w:trPr>
        <w:tc>
          <w:tcPr>
            <w:tcW w:w="1759" w:type="dxa"/>
            <w:tcBorders>
              <w:top w:val="nil"/>
              <w:left w:val="nil"/>
              <w:bottom w:val="single" w:sz="4" w:space="0" w:color="auto"/>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2013</w:t>
            </w:r>
          </w:p>
        </w:tc>
        <w:tc>
          <w:tcPr>
            <w:tcW w:w="1606" w:type="dxa"/>
            <w:tcBorders>
              <w:top w:val="nil"/>
              <w:left w:val="nil"/>
              <w:bottom w:val="single" w:sz="4" w:space="0" w:color="auto"/>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12,2</w:t>
            </w:r>
          </w:p>
        </w:tc>
        <w:tc>
          <w:tcPr>
            <w:tcW w:w="1606" w:type="dxa"/>
            <w:tcBorders>
              <w:top w:val="nil"/>
              <w:left w:val="nil"/>
              <w:bottom w:val="single" w:sz="4" w:space="0" w:color="auto"/>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15,8</w:t>
            </w:r>
          </w:p>
        </w:tc>
        <w:tc>
          <w:tcPr>
            <w:tcW w:w="1606" w:type="dxa"/>
            <w:tcBorders>
              <w:top w:val="nil"/>
              <w:left w:val="nil"/>
              <w:bottom w:val="single" w:sz="4" w:space="0" w:color="auto"/>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1,6</w:t>
            </w:r>
          </w:p>
        </w:tc>
        <w:tc>
          <w:tcPr>
            <w:tcW w:w="1606" w:type="dxa"/>
            <w:tcBorders>
              <w:top w:val="nil"/>
              <w:left w:val="nil"/>
              <w:bottom w:val="single" w:sz="4" w:space="0" w:color="auto"/>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21,1</w:t>
            </w:r>
          </w:p>
        </w:tc>
      </w:tr>
      <w:tr w:rsidR="00600AC1" w:rsidRPr="00600AC1" w:rsidTr="00252B02">
        <w:trPr>
          <w:trHeight w:val="316"/>
          <w:jc w:val="center"/>
        </w:trPr>
        <w:tc>
          <w:tcPr>
            <w:tcW w:w="1759" w:type="dxa"/>
            <w:tcBorders>
              <w:top w:val="single" w:sz="4" w:space="0" w:color="auto"/>
              <w:left w:val="nil"/>
              <w:bottom w:val="nil"/>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2014-I trim.</w:t>
            </w:r>
          </w:p>
        </w:tc>
        <w:tc>
          <w:tcPr>
            <w:tcW w:w="1606" w:type="dxa"/>
            <w:tcBorders>
              <w:top w:val="single" w:sz="4" w:space="0" w:color="auto"/>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12,5</w:t>
            </w:r>
          </w:p>
        </w:tc>
        <w:tc>
          <w:tcPr>
            <w:tcW w:w="1606" w:type="dxa"/>
            <w:tcBorders>
              <w:top w:val="single" w:sz="4" w:space="0" w:color="auto"/>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16,3</w:t>
            </w:r>
          </w:p>
        </w:tc>
        <w:tc>
          <w:tcPr>
            <w:tcW w:w="1606" w:type="dxa"/>
            <w:tcBorders>
              <w:top w:val="single" w:sz="4" w:space="0" w:color="auto"/>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0,7</w:t>
            </w:r>
          </w:p>
        </w:tc>
        <w:tc>
          <w:tcPr>
            <w:tcW w:w="1606" w:type="dxa"/>
            <w:tcBorders>
              <w:top w:val="single" w:sz="4" w:space="0" w:color="auto"/>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21,1</w:t>
            </w:r>
          </w:p>
        </w:tc>
      </w:tr>
      <w:tr w:rsidR="00600AC1" w:rsidRPr="00600AC1" w:rsidTr="00252B02">
        <w:trPr>
          <w:trHeight w:val="316"/>
          <w:jc w:val="center"/>
        </w:trPr>
        <w:tc>
          <w:tcPr>
            <w:tcW w:w="1759" w:type="dxa"/>
            <w:tcBorders>
              <w:top w:val="nil"/>
              <w:left w:val="nil"/>
              <w:bottom w:val="nil"/>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2014-II trim.</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12,5</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16,2</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0,4</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20,8</w:t>
            </w:r>
          </w:p>
        </w:tc>
      </w:tr>
      <w:tr w:rsidR="00600AC1" w:rsidRPr="00600AC1" w:rsidTr="00252B02">
        <w:trPr>
          <w:trHeight w:val="316"/>
          <w:jc w:val="center"/>
        </w:trPr>
        <w:tc>
          <w:tcPr>
            <w:tcW w:w="1759" w:type="dxa"/>
            <w:tcBorders>
              <w:top w:val="nil"/>
              <w:left w:val="nil"/>
              <w:bottom w:val="nil"/>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2014-III trim.</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12,6</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16,4</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0,1</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20,8</w:t>
            </w:r>
          </w:p>
        </w:tc>
      </w:tr>
      <w:tr w:rsidR="00600AC1" w:rsidRPr="00600AC1" w:rsidTr="00252B02">
        <w:trPr>
          <w:trHeight w:val="316"/>
          <w:jc w:val="center"/>
        </w:trPr>
        <w:tc>
          <w:tcPr>
            <w:tcW w:w="1759" w:type="dxa"/>
            <w:tcBorders>
              <w:top w:val="nil"/>
              <w:left w:val="nil"/>
              <w:bottom w:val="nil"/>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2014-Gennaio</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12,6</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16,3</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1,2</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21,4</w:t>
            </w:r>
          </w:p>
        </w:tc>
      </w:tr>
      <w:tr w:rsidR="00600AC1" w:rsidRPr="00600AC1" w:rsidTr="00252B02">
        <w:trPr>
          <w:trHeight w:val="316"/>
          <w:jc w:val="center"/>
        </w:trPr>
        <w:tc>
          <w:tcPr>
            <w:tcW w:w="1759" w:type="dxa"/>
            <w:tcBorders>
              <w:top w:val="nil"/>
              <w:left w:val="nil"/>
              <w:bottom w:val="nil"/>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2014-Febbraio</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12,6</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16,3</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0,6</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21,1</w:t>
            </w:r>
          </w:p>
        </w:tc>
      </w:tr>
      <w:tr w:rsidR="00600AC1" w:rsidRPr="00600AC1" w:rsidTr="00252B02">
        <w:trPr>
          <w:trHeight w:val="316"/>
          <w:jc w:val="center"/>
        </w:trPr>
        <w:tc>
          <w:tcPr>
            <w:tcW w:w="1759" w:type="dxa"/>
            <w:tcBorders>
              <w:top w:val="nil"/>
              <w:left w:val="nil"/>
              <w:bottom w:val="nil"/>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2014-Marzo</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12,5</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16,2</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0,4</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20,8</w:t>
            </w:r>
          </w:p>
        </w:tc>
      </w:tr>
      <w:tr w:rsidR="00600AC1" w:rsidRPr="00600AC1" w:rsidTr="00252B02">
        <w:trPr>
          <w:trHeight w:val="316"/>
          <w:jc w:val="center"/>
        </w:trPr>
        <w:tc>
          <w:tcPr>
            <w:tcW w:w="1759" w:type="dxa"/>
            <w:tcBorders>
              <w:top w:val="nil"/>
              <w:left w:val="nil"/>
              <w:bottom w:val="nil"/>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2014-Aprile</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12,5</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16,2</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0,5</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20,9</w:t>
            </w:r>
          </w:p>
        </w:tc>
      </w:tr>
      <w:tr w:rsidR="00600AC1" w:rsidRPr="00600AC1" w:rsidTr="00252B02">
        <w:trPr>
          <w:trHeight w:val="316"/>
          <w:jc w:val="center"/>
        </w:trPr>
        <w:tc>
          <w:tcPr>
            <w:tcW w:w="1759" w:type="dxa"/>
            <w:tcBorders>
              <w:top w:val="nil"/>
              <w:left w:val="nil"/>
              <w:bottom w:val="nil"/>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2014-Maggio</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12,6</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16,3</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0,5</w:t>
            </w:r>
          </w:p>
        </w:tc>
        <w:tc>
          <w:tcPr>
            <w:tcW w:w="1606" w:type="dxa"/>
            <w:tcBorders>
              <w:top w:val="nil"/>
              <w:left w:val="nil"/>
              <w:bottom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21,0</w:t>
            </w:r>
          </w:p>
        </w:tc>
      </w:tr>
      <w:tr w:rsidR="00600AC1" w:rsidRPr="00600AC1" w:rsidTr="00252B02">
        <w:trPr>
          <w:trHeight w:val="316"/>
          <w:jc w:val="center"/>
        </w:trPr>
        <w:tc>
          <w:tcPr>
            <w:tcW w:w="1759" w:type="dxa"/>
            <w:tcBorders>
              <w:top w:val="nil"/>
              <w:left w:val="nil"/>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2014-Giugno</w:t>
            </w:r>
          </w:p>
        </w:tc>
        <w:tc>
          <w:tcPr>
            <w:tcW w:w="1606" w:type="dxa"/>
            <w:tcBorders>
              <w:top w:val="nil"/>
              <w:left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12,4</w:t>
            </w:r>
          </w:p>
        </w:tc>
        <w:tc>
          <w:tcPr>
            <w:tcW w:w="1606" w:type="dxa"/>
            <w:tcBorders>
              <w:top w:val="nil"/>
              <w:left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16,1</w:t>
            </w:r>
          </w:p>
        </w:tc>
        <w:tc>
          <w:tcPr>
            <w:tcW w:w="1606" w:type="dxa"/>
            <w:tcBorders>
              <w:top w:val="nil"/>
              <w:left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0,3</w:t>
            </w:r>
          </w:p>
        </w:tc>
        <w:tc>
          <w:tcPr>
            <w:tcW w:w="1606" w:type="dxa"/>
            <w:tcBorders>
              <w:top w:val="nil"/>
              <w:left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20,6</w:t>
            </w:r>
          </w:p>
        </w:tc>
      </w:tr>
      <w:tr w:rsidR="00600AC1" w:rsidRPr="00600AC1" w:rsidTr="00252B02">
        <w:trPr>
          <w:trHeight w:val="316"/>
          <w:jc w:val="center"/>
        </w:trPr>
        <w:tc>
          <w:tcPr>
            <w:tcW w:w="1759" w:type="dxa"/>
            <w:tcBorders>
              <w:top w:val="nil"/>
              <w:left w:val="nil"/>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2014-Luglio</w:t>
            </w:r>
          </w:p>
        </w:tc>
        <w:tc>
          <w:tcPr>
            <w:tcW w:w="1606" w:type="dxa"/>
            <w:tcBorders>
              <w:top w:val="nil"/>
              <w:left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12,6</w:t>
            </w:r>
          </w:p>
        </w:tc>
        <w:tc>
          <w:tcPr>
            <w:tcW w:w="1606" w:type="dxa"/>
            <w:tcBorders>
              <w:top w:val="nil"/>
              <w:left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16,3</w:t>
            </w:r>
          </w:p>
        </w:tc>
        <w:tc>
          <w:tcPr>
            <w:tcW w:w="1606" w:type="dxa"/>
            <w:tcBorders>
              <w:top w:val="nil"/>
              <w:left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0,2</w:t>
            </w:r>
          </w:p>
        </w:tc>
        <w:tc>
          <w:tcPr>
            <w:tcW w:w="1606" w:type="dxa"/>
            <w:tcBorders>
              <w:top w:val="nil"/>
              <w:left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20,8</w:t>
            </w:r>
          </w:p>
        </w:tc>
      </w:tr>
      <w:tr w:rsidR="00600AC1" w:rsidRPr="00600AC1" w:rsidTr="00252B02">
        <w:trPr>
          <w:trHeight w:val="316"/>
          <w:jc w:val="center"/>
        </w:trPr>
        <w:tc>
          <w:tcPr>
            <w:tcW w:w="1759" w:type="dxa"/>
            <w:tcBorders>
              <w:top w:val="nil"/>
              <w:left w:val="nil"/>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2014-Agosto</w:t>
            </w:r>
          </w:p>
        </w:tc>
        <w:tc>
          <w:tcPr>
            <w:tcW w:w="1606" w:type="dxa"/>
            <w:tcBorders>
              <w:top w:val="nil"/>
              <w:left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12,5</w:t>
            </w:r>
          </w:p>
        </w:tc>
        <w:tc>
          <w:tcPr>
            <w:tcW w:w="1606" w:type="dxa"/>
            <w:tcBorders>
              <w:top w:val="nil"/>
              <w:left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16,3</w:t>
            </w:r>
          </w:p>
        </w:tc>
        <w:tc>
          <w:tcPr>
            <w:tcW w:w="1606" w:type="dxa"/>
            <w:tcBorders>
              <w:top w:val="nil"/>
              <w:left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0,2</w:t>
            </w:r>
          </w:p>
        </w:tc>
        <w:tc>
          <w:tcPr>
            <w:tcW w:w="1606" w:type="dxa"/>
            <w:tcBorders>
              <w:top w:val="nil"/>
              <w:left w:val="nil"/>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20,7</w:t>
            </w:r>
          </w:p>
        </w:tc>
      </w:tr>
      <w:tr w:rsidR="00600AC1" w:rsidRPr="00600AC1" w:rsidTr="00252B02">
        <w:trPr>
          <w:trHeight w:val="89"/>
          <w:jc w:val="center"/>
        </w:trPr>
        <w:tc>
          <w:tcPr>
            <w:tcW w:w="1759" w:type="dxa"/>
            <w:tcBorders>
              <w:top w:val="nil"/>
              <w:left w:val="nil"/>
              <w:bottom w:val="double" w:sz="4" w:space="0" w:color="auto"/>
              <w:right w:val="nil"/>
            </w:tcBorders>
            <w:shd w:val="clear" w:color="auto" w:fill="auto"/>
            <w:noWrap/>
            <w:vAlign w:val="center"/>
          </w:tcPr>
          <w:p w:rsidR="00600AC1" w:rsidRPr="00600AC1" w:rsidRDefault="00600AC1" w:rsidP="00600AC1">
            <w:pPr>
              <w:spacing w:after="0"/>
              <w:rPr>
                <w:rFonts w:ascii="Arial" w:hAnsi="Arial" w:cs="Arial"/>
                <w:color w:val="000000"/>
                <w:sz w:val="16"/>
                <w:szCs w:val="16"/>
              </w:rPr>
            </w:pPr>
            <w:r w:rsidRPr="00600AC1">
              <w:rPr>
                <w:rFonts w:ascii="Arial" w:hAnsi="Arial" w:cs="Arial"/>
                <w:color w:val="000000"/>
                <w:sz w:val="16"/>
                <w:szCs w:val="16"/>
              </w:rPr>
              <w:t>2014-Settembre</w:t>
            </w:r>
          </w:p>
        </w:tc>
        <w:tc>
          <w:tcPr>
            <w:tcW w:w="1606" w:type="dxa"/>
            <w:tcBorders>
              <w:top w:val="nil"/>
              <w:left w:val="nil"/>
              <w:bottom w:val="double" w:sz="4" w:space="0" w:color="auto"/>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12,6</w:t>
            </w:r>
          </w:p>
        </w:tc>
        <w:tc>
          <w:tcPr>
            <w:tcW w:w="1606" w:type="dxa"/>
            <w:tcBorders>
              <w:top w:val="nil"/>
              <w:left w:val="nil"/>
              <w:bottom w:val="double" w:sz="4" w:space="0" w:color="auto"/>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16,4</w:t>
            </w:r>
          </w:p>
        </w:tc>
        <w:tc>
          <w:tcPr>
            <w:tcW w:w="1606" w:type="dxa"/>
            <w:tcBorders>
              <w:top w:val="nil"/>
              <w:left w:val="nil"/>
              <w:bottom w:val="double" w:sz="4" w:space="0" w:color="auto"/>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0,0</w:t>
            </w:r>
          </w:p>
        </w:tc>
        <w:tc>
          <w:tcPr>
            <w:tcW w:w="1606" w:type="dxa"/>
            <w:tcBorders>
              <w:top w:val="nil"/>
              <w:left w:val="nil"/>
              <w:bottom w:val="double" w:sz="4" w:space="0" w:color="auto"/>
              <w:right w:val="nil"/>
            </w:tcBorders>
            <w:shd w:val="clear" w:color="auto" w:fill="auto"/>
            <w:noWrap/>
            <w:vAlign w:val="center"/>
          </w:tcPr>
          <w:p w:rsidR="00600AC1" w:rsidRPr="00600AC1" w:rsidRDefault="00600AC1" w:rsidP="00600AC1">
            <w:pPr>
              <w:spacing w:after="0"/>
              <w:jc w:val="center"/>
              <w:rPr>
                <w:rFonts w:ascii="Arial" w:hAnsi="Arial" w:cs="Arial"/>
                <w:color w:val="000000"/>
                <w:sz w:val="16"/>
                <w:szCs w:val="16"/>
              </w:rPr>
            </w:pPr>
            <w:r w:rsidRPr="00600AC1">
              <w:rPr>
                <w:rFonts w:ascii="Arial" w:hAnsi="Arial" w:cs="Arial"/>
                <w:color w:val="000000"/>
                <w:sz w:val="16"/>
                <w:szCs w:val="16"/>
              </w:rPr>
              <w:t>20,8</w:t>
            </w:r>
          </w:p>
        </w:tc>
      </w:tr>
    </w:tbl>
    <w:p w:rsidR="00600AC1" w:rsidRPr="00A1342C" w:rsidRDefault="00600AC1" w:rsidP="00252B02">
      <w:pPr>
        <w:spacing w:after="0"/>
        <w:ind w:left="709" w:right="566"/>
        <w:jc w:val="both"/>
        <w:rPr>
          <w:rFonts w:ascii="Arial" w:hAnsi="Arial" w:cs="Arial"/>
          <w:i/>
          <w:sz w:val="16"/>
          <w:szCs w:val="16"/>
        </w:rPr>
      </w:pPr>
      <w:r w:rsidRPr="00A1342C">
        <w:rPr>
          <w:rFonts w:ascii="Arial" w:hAnsi="Arial" w:cs="Arial"/>
          <w:sz w:val="16"/>
          <w:szCs w:val="16"/>
        </w:rPr>
        <w:t>Elaborazioni Ufficio Studi Confcommercio-Imprese per l’Italia su dati ISTAT ed INPS.</w:t>
      </w:r>
    </w:p>
    <w:p w:rsidR="00600AC1" w:rsidRPr="00A1342C" w:rsidRDefault="00600AC1" w:rsidP="00252B02">
      <w:pPr>
        <w:spacing w:after="0"/>
        <w:ind w:left="709" w:right="566"/>
        <w:jc w:val="both"/>
        <w:rPr>
          <w:rFonts w:ascii="Arial" w:hAnsi="Arial" w:cs="Arial"/>
          <w:sz w:val="16"/>
          <w:szCs w:val="16"/>
        </w:rPr>
      </w:pPr>
      <w:r w:rsidRPr="00A1342C">
        <w:rPr>
          <w:rFonts w:ascii="Arial" w:hAnsi="Arial" w:cs="Arial"/>
          <w:sz w:val="16"/>
          <w:szCs w:val="16"/>
        </w:rPr>
        <w:t xml:space="preserve">Legenda: per le definizioni si veda la nota tecnica. * I dati degli ultimi </w:t>
      </w:r>
      <w:r w:rsidRPr="00600AC1">
        <w:rPr>
          <w:rFonts w:ascii="Arial" w:hAnsi="Arial" w:cs="Arial"/>
          <w:sz w:val="16"/>
          <w:szCs w:val="16"/>
        </w:rPr>
        <w:t>due mesi</w:t>
      </w:r>
      <w:r w:rsidRPr="00A1342C">
        <w:rPr>
          <w:rFonts w:ascii="Arial" w:hAnsi="Arial" w:cs="Arial"/>
          <w:sz w:val="16"/>
          <w:szCs w:val="16"/>
        </w:rPr>
        <w:t xml:space="preserve"> sono frutto di stime (cfr. la nota tecnica a pag. 3).</w:t>
      </w:r>
    </w:p>
    <w:p w:rsidR="00981EEC" w:rsidRDefault="00981EEC" w:rsidP="00640849">
      <w:pPr>
        <w:spacing w:after="0"/>
        <w:ind w:left="567"/>
        <w:jc w:val="center"/>
        <w:rPr>
          <w:rFonts w:ascii="Arial" w:hAnsi="Arial" w:cs="Arial"/>
          <w:b/>
          <w:bCs/>
          <w:sz w:val="24"/>
          <w:szCs w:val="28"/>
        </w:rPr>
      </w:pPr>
    </w:p>
    <w:p w:rsidR="00640849" w:rsidRDefault="00640849" w:rsidP="00640849">
      <w:pPr>
        <w:spacing w:after="0"/>
        <w:ind w:left="567"/>
        <w:jc w:val="center"/>
        <w:rPr>
          <w:rFonts w:ascii="Arial" w:hAnsi="Arial" w:cs="Arial"/>
          <w:b/>
          <w:bCs/>
          <w:sz w:val="24"/>
          <w:szCs w:val="28"/>
        </w:rPr>
      </w:pPr>
      <w:r w:rsidRPr="00163424">
        <w:rPr>
          <w:rFonts w:ascii="Arial" w:hAnsi="Arial" w:cs="Arial"/>
          <w:b/>
          <w:bCs/>
          <w:sz w:val="24"/>
          <w:szCs w:val="28"/>
        </w:rPr>
        <w:t xml:space="preserve">Figura 1: </w:t>
      </w:r>
      <w:proofErr w:type="spellStart"/>
      <w:r w:rsidRPr="00163424">
        <w:rPr>
          <w:rFonts w:ascii="Arial" w:hAnsi="Arial" w:cs="Arial"/>
          <w:b/>
          <w:bCs/>
          <w:sz w:val="24"/>
          <w:szCs w:val="28"/>
        </w:rPr>
        <w:t>Misery</w:t>
      </w:r>
      <w:proofErr w:type="spellEnd"/>
      <w:r w:rsidRPr="00163424">
        <w:rPr>
          <w:rFonts w:ascii="Arial" w:hAnsi="Arial" w:cs="Arial"/>
          <w:b/>
          <w:bCs/>
          <w:sz w:val="24"/>
          <w:szCs w:val="28"/>
        </w:rPr>
        <w:t xml:space="preserve"> Index Confcommercio (MIC)</w:t>
      </w:r>
    </w:p>
    <w:p w:rsidR="00120CAE" w:rsidRDefault="000F289C" w:rsidP="00D60512">
      <w:pPr>
        <w:spacing w:after="0"/>
        <w:ind w:left="-284"/>
        <w:jc w:val="center"/>
        <w:rPr>
          <w:noProof/>
          <w:lang w:eastAsia="it-IT"/>
        </w:rPr>
      </w:pPr>
      <w:r w:rsidRPr="00C726B1">
        <w:rPr>
          <w:noProof/>
          <w:lang w:eastAsia="it-IT"/>
        </w:rPr>
        <w:drawing>
          <wp:inline distT="0" distB="0" distL="0" distR="0" wp14:anchorId="19662A1D" wp14:editId="7F6A52CE">
            <wp:extent cx="5029200" cy="296091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6722" cy="2971230"/>
                    </a:xfrm>
                    <a:prstGeom prst="rect">
                      <a:avLst/>
                    </a:prstGeom>
                    <a:noFill/>
                    <a:ln>
                      <a:noFill/>
                    </a:ln>
                  </pic:spPr>
                </pic:pic>
              </a:graphicData>
            </a:graphic>
          </wp:inline>
        </w:drawing>
      </w:r>
    </w:p>
    <w:p w:rsidR="00A9029D" w:rsidRPr="00A9029D" w:rsidRDefault="00A9029D" w:rsidP="00D60512">
      <w:pPr>
        <w:spacing w:after="0"/>
        <w:ind w:left="709" w:right="566"/>
        <w:jc w:val="both"/>
        <w:rPr>
          <w:rFonts w:ascii="Arial" w:hAnsi="Arial" w:cs="Arial"/>
          <w:i/>
          <w:sz w:val="16"/>
          <w:szCs w:val="16"/>
        </w:rPr>
      </w:pPr>
      <w:r w:rsidRPr="00A1342C">
        <w:rPr>
          <w:rFonts w:ascii="Arial" w:hAnsi="Arial" w:cs="Arial"/>
          <w:sz w:val="16"/>
          <w:szCs w:val="16"/>
        </w:rPr>
        <w:t xml:space="preserve">Elaborazioni Ufficio Studi Confcommercio-Imprese per l’Italia su </w:t>
      </w:r>
      <w:r w:rsidRPr="00A9029D">
        <w:rPr>
          <w:rFonts w:ascii="Arial" w:hAnsi="Arial" w:cs="Arial"/>
          <w:sz w:val="16"/>
          <w:szCs w:val="16"/>
        </w:rPr>
        <w:t>dati ISTAT ed INPS.</w:t>
      </w:r>
    </w:p>
    <w:p w:rsidR="00A9029D" w:rsidRDefault="00A9029D" w:rsidP="00D60512">
      <w:pPr>
        <w:spacing w:after="0"/>
        <w:ind w:left="709" w:right="566"/>
        <w:jc w:val="both"/>
        <w:rPr>
          <w:rFonts w:ascii="Arial" w:hAnsi="Arial" w:cs="Arial"/>
          <w:sz w:val="16"/>
          <w:szCs w:val="16"/>
        </w:rPr>
      </w:pPr>
      <w:r w:rsidRPr="00A9029D">
        <w:rPr>
          <w:rFonts w:ascii="Arial" w:hAnsi="Arial" w:cs="Arial"/>
          <w:sz w:val="16"/>
          <w:szCs w:val="16"/>
        </w:rPr>
        <w:t>Legenda: per le definizioni si veda la nota tecnica. I dati degli ultimi due mesi</w:t>
      </w:r>
      <w:r w:rsidRPr="00A1342C">
        <w:rPr>
          <w:rFonts w:ascii="Arial" w:hAnsi="Arial" w:cs="Arial"/>
          <w:sz w:val="16"/>
          <w:szCs w:val="16"/>
        </w:rPr>
        <w:t xml:space="preserve"> sono frutto di stime (cfr. la nota tecnica a pag. 3).</w:t>
      </w:r>
    </w:p>
    <w:p w:rsidR="008118D7" w:rsidRDefault="008118D7" w:rsidP="00BA4696">
      <w:pPr>
        <w:spacing w:after="0"/>
        <w:ind w:left="567" w:right="566"/>
        <w:jc w:val="both"/>
        <w:rPr>
          <w:rFonts w:ascii="Arial" w:hAnsi="Arial" w:cs="Arial"/>
          <w:sz w:val="16"/>
          <w:szCs w:val="16"/>
        </w:rPr>
      </w:pPr>
    </w:p>
    <w:p w:rsidR="008E7FC7" w:rsidRPr="00A1342C" w:rsidRDefault="00CE41BA" w:rsidP="008E7FC7">
      <w:pPr>
        <w:spacing w:line="24" w:lineRule="atLeast"/>
        <w:jc w:val="center"/>
        <w:rPr>
          <w:rFonts w:ascii="Arial" w:hAnsi="Arial" w:cs="Arial"/>
          <w:b/>
          <w:bCs/>
          <w:color w:val="0000FF"/>
          <w:sz w:val="24"/>
          <w:szCs w:val="24"/>
        </w:rPr>
      </w:pPr>
      <w:r>
        <w:rPr>
          <w:rFonts w:ascii="Arial" w:hAnsi="Arial" w:cs="Arial"/>
          <w:b/>
          <w:bCs/>
          <w:color w:val="0000FF"/>
          <w:sz w:val="24"/>
          <w:szCs w:val="24"/>
        </w:rPr>
        <w:t>N</w:t>
      </w:r>
      <w:r w:rsidR="008E7FC7" w:rsidRPr="00A1342C">
        <w:rPr>
          <w:rFonts w:ascii="Arial" w:hAnsi="Arial" w:cs="Arial"/>
          <w:b/>
          <w:bCs/>
          <w:color w:val="0000FF"/>
          <w:sz w:val="24"/>
          <w:szCs w:val="24"/>
        </w:rPr>
        <w:t xml:space="preserve">ota </w:t>
      </w:r>
      <w:r w:rsidR="00997A5C" w:rsidRPr="00A1342C">
        <w:rPr>
          <w:rFonts w:ascii="Arial" w:hAnsi="Arial" w:cs="Arial"/>
          <w:b/>
          <w:bCs/>
          <w:color w:val="0000FF"/>
          <w:sz w:val="24"/>
          <w:szCs w:val="24"/>
        </w:rPr>
        <w:t>tecnica</w:t>
      </w:r>
      <w:r w:rsidR="008E7FC7" w:rsidRPr="00A1342C">
        <w:rPr>
          <w:rFonts w:ascii="Arial" w:hAnsi="Arial" w:cs="Arial"/>
          <w:b/>
          <w:bCs/>
          <w:color w:val="0000FF"/>
          <w:sz w:val="24"/>
          <w:szCs w:val="24"/>
        </w:rPr>
        <w:t xml:space="preserve"> sul calcolo del </w:t>
      </w:r>
      <w:proofErr w:type="spellStart"/>
      <w:r w:rsidR="008E7FC7" w:rsidRPr="00A1342C">
        <w:rPr>
          <w:rFonts w:ascii="Arial" w:hAnsi="Arial" w:cs="Arial"/>
          <w:b/>
          <w:bCs/>
          <w:color w:val="0000FF"/>
          <w:sz w:val="24"/>
          <w:szCs w:val="24"/>
        </w:rPr>
        <w:t>Misery</w:t>
      </w:r>
      <w:proofErr w:type="spellEnd"/>
      <w:r w:rsidR="008E7FC7" w:rsidRPr="00A1342C">
        <w:rPr>
          <w:rFonts w:ascii="Arial" w:hAnsi="Arial" w:cs="Arial"/>
          <w:b/>
          <w:bCs/>
          <w:color w:val="0000FF"/>
          <w:sz w:val="24"/>
          <w:szCs w:val="24"/>
        </w:rPr>
        <w:t xml:space="preserve"> Index Confcommercio (MIC)</w:t>
      </w:r>
    </w:p>
    <w:p w:rsidR="008F0994" w:rsidRPr="00A1342C" w:rsidRDefault="008F0994" w:rsidP="008F0994">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Il </w:t>
      </w:r>
      <w:proofErr w:type="spellStart"/>
      <w:r w:rsidRPr="00A1342C">
        <w:rPr>
          <w:rFonts w:ascii="Arial" w:hAnsi="Arial" w:cs="Arial"/>
          <w:b/>
          <w:sz w:val="16"/>
          <w:szCs w:val="16"/>
        </w:rPr>
        <w:t>Misery</w:t>
      </w:r>
      <w:proofErr w:type="spellEnd"/>
      <w:r w:rsidRPr="00A1342C">
        <w:rPr>
          <w:rFonts w:ascii="Arial" w:hAnsi="Arial" w:cs="Arial"/>
          <w:b/>
          <w:sz w:val="16"/>
          <w:szCs w:val="16"/>
        </w:rPr>
        <w:t xml:space="preserve"> Index</w:t>
      </w:r>
      <w:r w:rsidRPr="00A1342C">
        <w:rPr>
          <w:rFonts w:ascii="Arial" w:hAnsi="Arial" w:cs="Arial"/>
          <w:sz w:val="16"/>
          <w:szCs w:val="16"/>
        </w:rPr>
        <w:t xml:space="preserve"> </w:t>
      </w:r>
      <w:r w:rsidRPr="00A1342C">
        <w:rPr>
          <w:rFonts w:ascii="Arial" w:hAnsi="Arial" w:cs="Arial"/>
          <w:b/>
          <w:sz w:val="16"/>
          <w:szCs w:val="16"/>
        </w:rPr>
        <w:t>(MI)</w:t>
      </w:r>
      <w:r w:rsidRPr="00A1342C">
        <w:rPr>
          <w:rFonts w:ascii="Arial" w:hAnsi="Arial" w:cs="Arial"/>
          <w:sz w:val="16"/>
          <w:szCs w:val="16"/>
        </w:rPr>
        <w:t xml:space="preserve"> tradizionale è dato dalla semplice somma di tasso di disoccupazione e tasso d’inflazione. I pesi assegnati ai due “mali” sono dunque identici e pari a 1.</w:t>
      </w:r>
    </w:p>
    <w:p w:rsidR="008F0994" w:rsidRPr="00A1342C" w:rsidRDefault="008F0994" w:rsidP="008F0994">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Il </w:t>
      </w:r>
      <w:proofErr w:type="spellStart"/>
      <w:r w:rsidRPr="00A1342C">
        <w:rPr>
          <w:rFonts w:ascii="Arial" w:hAnsi="Arial" w:cs="Arial"/>
          <w:b/>
          <w:sz w:val="16"/>
          <w:szCs w:val="16"/>
        </w:rPr>
        <w:t>Misery</w:t>
      </w:r>
      <w:proofErr w:type="spellEnd"/>
      <w:r w:rsidRPr="00A1342C">
        <w:rPr>
          <w:rFonts w:ascii="Arial" w:hAnsi="Arial" w:cs="Arial"/>
          <w:b/>
          <w:sz w:val="16"/>
          <w:szCs w:val="16"/>
        </w:rPr>
        <w:t xml:space="preserve"> Index Confcommercio (MIC)</w:t>
      </w:r>
      <w:r w:rsidRPr="00A1342C">
        <w:rPr>
          <w:rFonts w:ascii="Arial" w:hAnsi="Arial" w:cs="Arial"/>
          <w:sz w:val="16"/>
          <w:szCs w:val="16"/>
        </w:rPr>
        <w:t xml:space="preserve"> è calcolato in modo da leggere con maggiore precisione la dinamica del disagio sociale, misurato in una metrica macroeconomica. Le due componenti del MIC sono il tasso di disoccupazione esteso, definito più sotto, e la variazione dei prezzi dei beni e dei servizi acquistati in alta frequenza (fonte ISTAT): le dinamiche di prezzo di questo paniere dovrebbero influenzare in modo più diretto la percezione dell’inflazione da parte delle famiglie, correlandosi direttamente con le preoccupazioni (disagio) in merito al proprio potere d’acquisto.</w:t>
      </w:r>
    </w:p>
    <w:p w:rsidR="008F0994" w:rsidRPr="00A1342C" w:rsidRDefault="008F0994" w:rsidP="008F0994">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Si assegnano pesi diversi alle due componenti, disoccupazione ed inflazione, rispettivamente 1,2647 e 0,7353. Ciò sulla base degli studi scientifici internazionali che, utilizzando dati </w:t>
      </w:r>
      <w:proofErr w:type="spellStart"/>
      <w:r w:rsidRPr="00A1342C">
        <w:rPr>
          <w:rFonts w:ascii="Arial" w:hAnsi="Arial" w:cs="Arial"/>
          <w:sz w:val="16"/>
          <w:szCs w:val="16"/>
        </w:rPr>
        <w:t>Eurobarometro</w:t>
      </w:r>
      <w:proofErr w:type="spellEnd"/>
      <w:r w:rsidRPr="00A1342C">
        <w:rPr>
          <w:rFonts w:ascii="Arial" w:hAnsi="Arial" w:cs="Arial"/>
          <w:sz w:val="16"/>
          <w:szCs w:val="16"/>
        </w:rPr>
        <w:t xml:space="preserve"> sul benessere dei cittadini europei (si veda Di Tella, </w:t>
      </w:r>
      <w:proofErr w:type="spellStart"/>
      <w:r w:rsidRPr="00A1342C">
        <w:rPr>
          <w:rFonts w:ascii="Arial" w:hAnsi="Arial" w:cs="Arial"/>
          <w:sz w:val="16"/>
          <w:szCs w:val="16"/>
        </w:rPr>
        <w:t>MacCulloch</w:t>
      </w:r>
      <w:proofErr w:type="spellEnd"/>
      <w:r w:rsidRPr="00A1342C">
        <w:rPr>
          <w:rFonts w:ascii="Arial" w:hAnsi="Arial" w:cs="Arial"/>
          <w:sz w:val="16"/>
          <w:szCs w:val="16"/>
        </w:rPr>
        <w:t xml:space="preserve"> ed Oswald, 2001), hanno dimostrato come il costo della disoccupazione in termini di soddisfazione di vita sia molto superiore a quello dell’inflazione.</w:t>
      </w:r>
    </w:p>
    <w:p w:rsidR="008F0994" w:rsidRPr="00A1342C" w:rsidRDefault="008F0994" w:rsidP="008F0994">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D’altra parte, tutte le recenti ricerche sociali evidenziano come prima preoccupazione dei cittadini sia la questione del lavoro, e quindi la paura della disoccupazione. Il </w:t>
      </w:r>
      <w:proofErr w:type="spellStart"/>
      <w:r w:rsidRPr="00A1342C">
        <w:rPr>
          <w:rFonts w:ascii="Arial" w:hAnsi="Arial" w:cs="Arial"/>
          <w:sz w:val="16"/>
          <w:szCs w:val="16"/>
        </w:rPr>
        <w:t>Misery</w:t>
      </w:r>
      <w:proofErr w:type="spellEnd"/>
      <w:r w:rsidRPr="00A1342C">
        <w:rPr>
          <w:rFonts w:ascii="Arial" w:hAnsi="Arial" w:cs="Arial"/>
          <w:sz w:val="16"/>
          <w:szCs w:val="16"/>
        </w:rPr>
        <w:t xml:space="preserve"> Index tradizionale, che assegna pesi uguali ai due mali, tende, dunque, a sottostimare i costi economici, psicologici e sociali - diretti ed indiretti - della disoccupazione. La quantificazione dei due pesi adottata nel MIC si basa sulla regressione 1 della Tabella 2 contenuta in Becchetti, </w:t>
      </w:r>
      <w:proofErr w:type="spellStart"/>
      <w:r w:rsidRPr="00A1342C">
        <w:rPr>
          <w:rFonts w:ascii="Arial" w:hAnsi="Arial" w:cs="Arial"/>
          <w:sz w:val="16"/>
          <w:szCs w:val="16"/>
        </w:rPr>
        <w:t>Castriota</w:t>
      </w:r>
      <w:proofErr w:type="spellEnd"/>
      <w:r w:rsidRPr="00A1342C">
        <w:rPr>
          <w:rFonts w:ascii="Arial" w:hAnsi="Arial" w:cs="Arial"/>
          <w:sz w:val="16"/>
          <w:szCs w:val="16"/>
        </w:rPr>
        <w:t xml:space="preserve"> e </w:t>
      </w:r>
      <w:proofErr w:type="spellStart"/>
      <w:r w:rsidRPr="00A1342C">
        <w:rPr>
          <w:rFonts w:ascii="Arial" w:hAnsi="Arial" w:cs="Arial"/>
          <w:sz w:val="16"/>
          <w:szCs w:val="16"/>
        </w:rPr>
        <w:t>Giuntella</w:t>
      </w:r>
      <w:proofErr w:type="spellEnd"/>
      <w:r w:rsidRPr="00A1342C">
        <w:rPr>
          <w:rFonts w:ascii="Arial" w:hAnsi="Arial" w:cs="Arial"/>
          <w:sz w:val="16"/>
          <w:szCs w:val="16"/>
        </w:rPr>
        <w:t xml:space="preserve"> (2010), in cui si stima che, per lasciare indifferente un cittadino medio europeo, l’aumento di un punto di disoccupazione deve essere compensato da una diminuzione di 1,72 punti di inflazione. Di conseguenza, i pesi della disoccupazione e dell’inflazione valgono, rispettivamente, (1,72/2,72)x2=1,2647 e (1/2,72)x2=0,7353. I pesi sono moltiplicati per due in modo da lasciare la loro somma uguale a due per consentire una lettura non ambigua dei risultati (anche nel calcolo del </w:t>
      </w:r>
      <w:proofErr w:type="spellStart"/>
      <w:r w:rsidRPr="00A1342C">
        <w:rPr>
          <w:rFonts w:ascii="Arial" w:hAnsi="Arial" w:cs="Arial"/>
          <w:sz w:val="16"/>
          <w:szCs w:val="16"/>
        </w:rPr>
        <w:t>Misery</w:t>
      </w:r>
      <w:proofErr w:type="spellEnd"/>
      <w:r w:rsidRPr="00A1342C">
        <w:rPr>
          <w:rFonts w:ascii="Arial" w:hAnsi="Arial" w:cs="Arial"/>
          <w:sz w:val="16"/>
          <w:szCs w:val="16"/>
        </w:rPr>
        <w:t xml:space="preserve"> Index tradizionale la somma dei pesi è pari a due).</w:t>
      </w:r>
    </w:p>
    <w:p w:rsidR="008F0994" w:rsidRPr="00A1342C" w:rsidRDefault="008F0994" w:rsidP="008F0994">
      <w:pPr>
        <w:pStyle w:val="Paragrafoelenco1"/>
        <w:spacing w:after="0" w:line="288" w:lineRule="auto"/>
        <w:ind w:left="0" w:firstLine="709"/>
        <w:jc w:val="both"/>
        <w:rPr>
          <w:rFonts w:ascii="Arial" w:hAnsi="Arial" w:cs="Arial"/>
          <w:sz w:val="16"/>
          <w:szCs w:val="16"/>
        </w:rPr>
      </w:pPr>
    </w:p>
    <w:p w:rsidR="008F0994" w:rsidRPr="00A1342C" w:rsidRDefault="008F0994" w:rsidP="008F0994">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Il tasso di disoccupazione esteso è il termine in parentesi quadra a destra nella seguente formula:</w:t>
      </w:r>
    </w:p>
    <w:p w:rsidR="008F0994" w:rsidRPr="00A1342C" w:rsidRDefault="008F0994" w:rsidP="008F0994">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MIC=0,7353 × (</w:t>
      </w:r>
      <w:proofErr w:type="spellStart"/>
      <w:r w:rsidRPr="00A1342C">
        <w:rPr>
          <w:rFonts w:ascii="Arial" w:hAnsi="Arial" w:cs="Arial"/>
          <w:sz w:val="16"/>
          <w:szCs w:val="16"/>
        </w:rPr>
        <w:t>infl</w:t>
      </w:r>
      <w:proofErr w:type="spellEnd"/>
      <w:r w:rsidRPr="00A1342C">
        <w:rPr>
          <w:rFonts w:ascii="Arial" w:hAnsi="Arial" w:cs="Arial"/>
          <w:sz w:val="16"/>
          <w:szCs w:val="16"/>
        </w:rPr>
        <w:t>. AF) + 1,2647 × [(</w:t>
      </w:r>
      <w:proofErr w:type="spellStart"/>
      <w:r w:rsidRPr="00A1342C">
        <w:rPr>
          <w:rFonts w:ascii="Arial" w:hAnsi="Arial" w:cs="Arial"/>
          <w:sz w:val="16"/>
          <w:szCs w:val="16"/>
        </w:rPr>
        <w:t>disocc</w:t>
      </w:r>
      <w:proofErr w:type="spellEnd"/>
      <w:r w:rsidRPr="00A1342C">
        <w:rPr>
          <w:rFonts w:ascii="Arial" w:hAnsi="Arial" w:cs="Arial"/>
          <w:sz w:val="16"/>
          <w:szCs w:val="16"/>
        </w:rPr>
        <w:t xml:space="preserve">.+FL </w:t>
      </w:r>
      <w:proofErr w:type="spellStart"/>
      <w:r w:rsidRPr="00A1342C">
        <w:rPr>
          <w:rFonts w:ascii="Arial" w:hAnsi="Arial" w:cs="Arial"/>
          <w:sz w:val="16"/>
          <w:szCs w:val="16"/>
        </w:rPr>
        <w:t>pot</w:t>
      </w:r>
      <w:proofErr w:type="spellEnd"/>
      <w:r w:rsidRPr="00A1342C">
        <w:rPr>
          <w:rFonts w:ascii="Arial" w:hAnsi="Arial" w:cs="Arial"/>
          <w:sz w:val="16"/>
          <w:szCs w:val="16"/>
        </w:rPr>
        <w:t>.+ CIG)/(</w:t>
      </w:r>
      <w:proofErr w:type="spellStart"/>
      <w:r w:rsidRPr="00A1342C">
        <w:rPr>
          <w:rFonts w:ascii="Arial" w:hAnsi="Arial" w:cs="Arial"/>
          <w:sz w:val="16"/>
          <w:szCs w:val="16"/>
        </w:rPr>
        <w:t>occ</w:t>
      </w:r>
      <w:proofErr w:type="spellEnd"/>
      <w:r w:rsidRPr="00A1342C">
        <w:rPr>
          <w:rFonts w:ascii="Arial" w:hAnsi="Arial" w:cs="Arial"/>
          <w:sz w:val="16"/>
          <w:szCs w:val="16"/>
        </w:rPr>
        <w:t>.+</w:t>
      </w:r>
      <w:proofErr w:type="spellStart"/>
      <w:r w:rsidRPr="00A1342C">
        <w:rPr>
          <w:rFonts w:ascii="Arial" w:hAnsi="Arial" w:cs="Arial"/>
          <w:sz w:val="16"/>
          <w:szCs w:val="16"/>
        </w:rPr>
        <w:t>disocc</w:t>
      </w:r>
      <w:proofErr w:type="spellEnd"/>
      <w:r w:rsidRPr="00A1342C">
        <w:rPr>
          <w:rFonts w:ascii="Arial" w:hAnsi="Arial" w:cs="Arial"/>
          <w:sz w:val="16"/>
          <w:szCs w:val="16"/>
        </w:rPr>
        <w:t xml:space="preserve">.+FL </w:t>
      </w:r>
      <w:proofErr w:type="spellStart"/>
      <w:r w:rsidRPr="00A1342C">
        <w:rPr>
          <w:rFonts w:ascii="Arial" w:hAnsi="Arial" w:cs="Arial"/>
          <w:sz w:val="16"/>
          <w:szCs w:val="16"/>
        </w:rPr>
        <w:t>pot</w:t>
      </w:r>
      <w:proofErr w:type="spellEnd"/>
      <w:r w:rsidRPr="00A1342C">
        <w:rPr>
          <w:rFonts w:ascii="Arial" w:hAnsi="Arial" w:cs="Arial"/>
          <w:sz w:val="16"/>
          <w:szCs w:val="16"/>
        </w:rPr>
        <w:t>.) × 100]</w:t>
      </w:r>
    </w:p>
    <w:p w:rsidR="008F0994" w:rsidRPr="00A1342C" w:rsidRDefault="008F0994" w:rsidP="008F0994">
      <w:pPr>
        <w:pStyle w:val="Paragrafoelenco1"/>
        <w:spacing w:after="0" w:line="288" w:lineRule="auto"/>
        <w:ind w:left="0" w:firstLine="709"/>
        <w:jc w:val="both"/>
        <w:rPr>
          <w:rFonts w:ascii="Arial" w:hAnsi="Arial" w:cs="Arial"/>
          <w:sz w:val="16"/>
          <w:szCs w:val="16"/>
        </w:rPr>
      </w:pPr>
    </w:p>
    <w:p w:rsidR="008F0994" w:rsidRPr="00A1342C" w:rsidRDefault="008F0994" w:rsidP="008F0994">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Al numeratore del tasso di disoccupazione esteso compaiono sia le forze di lavoro potenziali, come definite più sotto, sia i cassaintegrati equivalenti a zero ore. Questo concetto si esemplifica facilmente: se le ore di cassa integrazione sono otto in un giorno, quattro per una persona e quattro per un’altra persona, i cassaintegrati equivalenti sono pari a uno dal momento che un dipendente a tempo pieno lavora otto ore. Le forze di lavoro potenziali correggono opportunamente anche il denominatore, estendendo il concetto tradizionale di forze di lavoro a coloro che hanno svolto l’ultima azione di ricerca da due a tre mesi fa e che, quindi, sono più facilmente assimilabili ai disoccupati che agli inattivi; i cassaintegrati equivalenti, invece, non compaiono al denominatore perché già conteggiati (nella rilevazione dell’ISTAT figurano tra gli occupati). </w:t>
      </w:r>
    </w:p>
    <w:p w:rsidR="008F0994" w:rsidRPr="00A1342C" w:rsidRDefault="008F0994" w:rsidP="008F0994">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Di seguito la descrizione delle singole variabili e le fonti:</w:t>
      </w:r>
    </w:p>
    <w:p w:rsidR="008F0994" w:rsidRPr="00A1342C" w:rsidRDefault="008F0994" w:rsidP="008F0994">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Tasso di inflazione dei prodotti ad alta frequenza d’acquisto: dati mensili di fonte ISTAT, variazione tendenziale;</w:t>
      </w:r>
    </w:p>
    <w:p w:rsidR="008F0994" w:rsidRPr="00A1342C" w:rsidRDefault="008F0994" w:rsidP="008F0994">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Tasso di disoccupazione, occupati e disoccupati: dati mensili destagionalizzati di fonte ISTAT;</w:t>
      </w:r>
    </w:p>
    <w:p w:rsidR="008F0994" w:rsidRPr="00A1342C" w:rsidRDefault="008F0994" w:rsidP="008F0994">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Ore CIG: dati mensili INPS sulle ore di CIG effettivamente utilizzate (tiraggio, confronti omogenei); tale stima costituisce un’approssimazione dal momento che le comunicazioni delle aziende all’INPS non sono sempre contestuali al periodo di fruizione del sussidio da parte del lavoratore</w:t>
      </w:r>
      <w:r>
        <w:rPr>
          <w:rFonts w:ascii="Arial" w:hAnsi="Arial" w:cs="Arial"/>
          <w:sz w:val="16"/>
          <w:szCs w:val="16"/>
        </w:rPr>
        <w:t>. I dati sono stati destagionalizzati con TRAMO-SEATS</w:t>
      </w:r>
      <w:r w:rsidRPr="00A1342C">
        <w:rPr>
          <w:rFonts w:ascii="Arial" w:hAnsi="Arial" w:cs="Arial"/>
          <w:sz w:val="16"/>
          <w:szCs w:val="16"/>
        </w:rPr>
        <w:t>;</w:t>
      </w:r>
    </w:p>
    <w:p w:rsidR="008F0994" w:rsidRPr="003D647F" w:rsidRDefault="008F0994" w:rsidP="008F0994">
      <w:pPr>
        <w:pStyle w:val="Paragrafoelenco1"/>
        <w:numPr>
          <w:ilvl w:val="0"/>
          <w:numId w:val="6"/>
        </w:numPr>
        <w:spacing w:after="0" w:line="288" w:lineRule="auto"/>
        <w:jc w:val="both"/>
        <w:rPr>
          <w:rFonts w:ascii="Arial" w:hAnsi="Arial" w:cs="Arial"/>
          <w:sz w:val="16"/>
          <w:szCs w:val="16"/>
        </w:rPr>
      </w:pPr>
      <w:r w:rsidRPr="003D647F">
        <w:rPr>
          <w:rFonts w:ascii="Arial" w:hAnsi="Arial" w:cs="Arial"/>
          <w:sz w:val="16"/>
          <w:szCs w:val="16"/>
        </w:rPr>
        <w:t xml:space="preserve">CIG: numero di CIG-teste, calcolate dividendo le Ore CIG totali per 2000 ore annue (166,6 al mese); </w:t>
      </w:r>
    </w:p>
    <w:p w:rsidR="008F0994" w:rsidRPr="003D647F" w:rsidRDefault="008F0994" w:rsidP="008F0994">
      <w:pPr>
        <w:pStyle w:val="Paragrafoelenco1"/>
        <w:numPr>
          <w:ilvl w:val="0"/>
          <w:numId w:val="6"/>
        </w:numPr>
        <w:spacing w:after="0" w:line="288" w:lineRule="auto"/>
        <w:jc w:val="both"/>
        <w:rPr>
          <w:rFonts w:ascii="Arial" w:hAnsi="Arial" w:cs="Arial"/>
          <w:sz w:val="16"/>
          <w:szCs w:val="16"/>
        </w:rPr>
      </w:pPr>
      <w:r w:rsidRPr="003D647F">
        <w:rPr>
          <w:rFonts w:ascii="Arial" w:hAnsi="Arial" w:cs="Arial"/>
          <w:sz w:val="16"/>
          <w:szCs w:val="16"/>
        </w:rPr>
        <w:t xml:space="preserve">Forze di lavoro potenziali: sottoinsieme delle persone che (1) si dichiarano in cerca di lavoro, (2) sono disponibili a lavorare nelle prossime due settimane e (3) anche se non lo hanno fatto nelle ultime quattro settimane, affermano di aver compiuto una o più azioni di ricerca da </w:t>
      </w:r>
      <w:smartTag w:uri="urn:schemas-microsoft-com:office:smarttags" w:element="metricconverter">
        <w:smartTagPr>
          <w:attr w:name="ProductID" w:val="2 a"/>
        </w:smartTagPr>
        <w:r w:rsidRPr="003D647F">
          <w:rPr>
            <w:rFonts w:ascii="Arial" w:hAnsi="Arial" w:cs="Arial"/>
            <w:sz w:val="16"/>
            <w:szCs w:val="16"/>
          </w:rPr>
          <w:t>2 a</w:t>
        </w:r>
      </w:smartTag>
      <w:r w:rsidRPr="003D647F">
        <w:rPr>
          <w:rFonts w:ascii="Arial" w:hAnsi="Arial" w:cs="Arial"/>
          <w:sz w:val="16"/>
          <w:szCs w:val="16"/>
        </w:rPr>
        <w:t xml:space="preserve"> 3 mesi prima dell’intervista. I dati sulle forze lavoro potenziali, forniti dall’ISTAT su base trimestrale, sono stati </w:t>
      </w:r>
      <w:r>
        <w:rPr>
          <w:rFonts w:ascii="Arial" w:hAnsi="Arial" w:cs="Arial"/>
          <w:sz w:val="16"/>
          <w:szCs w:val="16"/>
        </w:rPr>
        <w:t xml:space="preserve">destagionalizzati con TRAMO-SEATS e </w:t>
      </w:r>
      <w:proofErr w:type="spellStart"/>
      <w:r w:rsidRPr="003D647F">
        <w:rPr>
          <w:rFonts w:ascii="Arial" w:hAnsi="Arial" w:cs="Arial"/>
          <w:sz w:val="16"/>
          <w:szCs w:val="16"/>
        </w:rPr>
        <w:t>mensilizzati</w:t>
      </w:r>
      <w:proofErr w:type="spellEnd"/>
      <w:r w:rsidRPr="003D647F">
        <w:rPr>
          <w:rFonts w:ascii="Arial" w:hAnsi="Arial" w:cs="Arial"/>
          <w:sz w:val="16"/>
          <w:szCs w:val="16"/>
        </w:rPr>
        <w:t>.</w:t>
      </w:r>
    </w:p>
    <w:p w:rsidR="008F0994" w:rsidRPr="003D647F" w:rsidRDefault="008F0994" w:rsidP="008F0994">
      <w:pPr>
        <w:pStyle w:val="Paragrafoelenco1"/>
        <w:spacing w:after="0" w:line="288" w:lineRule="auto"/>
        <w:ind w:left="1429"/>
        <w:jc w:val="both"/>
        <w:rPr>
          <w:rFonts w:ascii="Arial" w:hAnsi="Arial" w:cs="Arial"/>
          <w:sz w:val="16"/>
          <w:szCs w:val="16"/>
        </w:rPr>
      </w:pPr>
    </w:p>
    <w:p w:rsidR="008F0994" w:rsidRPr="00F8261E" w:rsidRDefault="008F0994" w:rsidP="00F8261E">
      <w:pPr>
        <w:pStyle w:val="Paragrafoelenco1"/>
        <w:spacing w:after="0" w:line="288" w:lineRule="auto"/>
        <w:ind w:left="284" w:hanging="284"/>
        <w:jc w:val="both"/>
        <w:rPr>
          <w:rFonts w:ascii="Arial" w:hAnsi="Arial" w:cs="Arial"/>
          <w:sz w:val="16"/>
          <w:szCs w:val="16"/>
        </w:rPr>
      </w:pPr>
      <w:r w:rsidRPr="00F8261E">
        <w:rPr>
          <w:rFonts w:ascii="Arial" w:hAnsi="Arial" w:cs="Arial"/>
          <w:b/>
          <w:sz w:val="16"/>
          <w:szCs w:val="16"/>
        </w:rPr>
        <w:t>Per il presente numero</w:t>
      </w:r>
    </w:p>
    <w:p w:rsidR="008F0994" w:rsidRPr="00F8261E" w:rsidRDefault="008F0994" w:rsidP="00F8261E">
      <w:pPr>
        <w:pStyle w:val="Paragrafoelenco1"/>
        <w:numPr>
          <w:ilvl w:val="0"/>
          <w:numId w:val="6"/>
        </w:numPr>
        <w:spacing w:after="0" w:line="288" w:lineRule="auto"/>
        <w:ind w:left="284" w:hanging="284"/>
        <w:jc w:val="both"/>
        <w:rPr>
          <w:rFonts w:ascii="Arial" w:hAnsi="Arial" w:cs="Arial"/>
          <w:sz w:val="16"/>
          <w:szCs w:val="16"/>
        </w:rPr>
      </w:pPr>
      <w:r w:rsidRPr="00F8261E">
        <w:rPr>
          <w:rFonts w:ascii="Arial" w:hAnsi="Arial" w:cs="Arial"/>
          <w:sz w:val="16"/>
          <w:szCs w:val="16"/>
        </w:rPr>
        <w:t>I dati sulle ore di CIG effettivamente utilizzate sono stati destagionalizzati e, per gli ultimi due mesi, stimati con TRAMO-SEATS;</w:t>
      </w:r>
    </w:p>
    <w:p w:rsidR="008F0994" w:rsidRPr="00F8261E" w:rsidRDefault="008F0994" w:rsidP="00F8261E">
      <w:pPr>
        <w:pStyle w:val="Paragrafoelenco1"/>
        <w:numPr>
          <w:ilvl w:val="0"/>
          <w:numId w:val="6"/>
        </w:numPr>
        <w:spacing w:after="0" w:line="288" w:lineRule="auto"/>
        <w:ind w:left="284" w:hanging="284"/>
        <w:jc w:val="both"/>
        <w:rPr>
          <w:rFonts w:ascii="Arial" w:hAnsi="Arial" w:cs="Arial"/>
          <w:sz w:val="16"/>
          <w:szCs w:val="16"/>
        </w:rPr>
      </w:pPr>
      <w:r w:rsidRPr="00F8261E">
        <w:rPr>
          <w:rFonts w:ascii="Arial" w:hAnsi="Arial" w:cs="Arial"/>
          <w:sz w:val="16"/>
          <w:szCs w:val="16"/>
        </w:rPr>
        <w:t xml:space="preserve">I dati sulle forze di lavoro potenziali per gli ultimi due mesi sono stimati applicando ai dati trimestrali un modello di previsione che tenga conto delle ciclicità stagionali (le elaborazioni sono state effettuate con TRAMO-SEATS). La previsione è stata poi opportunamente </w:t>
      </w:r>
      <w:proofErr w:type="spellStart"/>
      <w:r w:rsidRPr="00F8261E">
        <w:rPr>
          <w:rFonts w:ascii="Arial" w:hAnsi="Arial" w:cs="Arial"/>
          <w:sz w:val="16"/>
          <w:szCs w:val="16"/>
        </w:rPr>
        <w:t>mensilizzata</w:t>
      </w:r>
      <w:proofErr w:type="spellEnd"/>
      <w:r w:rsidRPr="00F8261E">
        <w:rPr>
          <w:rFonts w:ascii="Arial" w:hAnsi="Arial" w:cs="Arial"/>
          <w:sz w:val="16"/>
          <w:szCs w:val="16"/>
        </w:rPr>
        <w:t xml:space="preserve">. </w:t>
      </w:r>
    </w:p>
    <w:p w:rsidR="008F0994" w:rsidRPr="009D3CE8" w:rsidRDefault="008F0994" w:rsidP="008F0994">
      <w:pPr>
        <w:pStyle w:val="Paragrafoelenco1"/>
        <w:spacing w:after="0" w:line="24" w:lineRule="atLeast"/>
        <w:jc w:val="both"/>
        <w:rPr>
          <w:rFonts w:ascii="Arial" w:hAnsi="Arial" w:cs="Arial"/>
          <w:sz w:val="16"/>
          <w:szCs w:val="16"/>
        </w:rPr>
      </w:pPr>
    </w:p>
    <w:p w:rsidR="008F0994" w:rsidRDefault="008F0994" w:rsidP="00F8261E">
      <w:pPr>
        <w:pStyle w:val="Paragrafoelenco1"/>
        <w:spacing w:after="0" w:line="288" w:lineRule="auto"/>
        <w:ind w:left="0"/>
        <w:jc w:val="both"/>
        <w:rPr>
          <w:rFonts w:ascii="Arial" w:hAnsi="Arial" w:cs="Arial"/>
          <w:b/>
          <w:sz w:val="16"/>
          <w:szCs w:val="16"/>
          <w:lang w:val="en-US"/>
        </w:rPr>
      </w:pPr>
      <w:proofErr w:type="spellStart"/>
      <w:r w:rsidRPr="009D3CE8">
        <w:rPr>
          <w:rFonts w:ascii="Arial" w:hAnsi="Arial" w:cs="Arial"/>
          <w:b/>
          <w:sz w:val="16"/>
          <w:szCs w:val="16"/>
          <w:lang w:val="en-US"/>
        </w:rPr>
        <w:t>Riferimenti</w:t>
      </w:r>
      <w:proofErr w:type="spellEnd"/>
    </w:p>
    <w:p w:rsidR="008F0994" w:rsidRPr="009D3CE8" w:rsidRDefault="008F0994" w:rsidP="008F0994">
      <w:pPr>
        <w:pStyle w:val="Paragrafoelenco1"/>
        <w:spacing w:after="0" w:line="288" w:lineRule="auto"/>
        <w:ind w:left="0" w:firstLine="709"/>
        <w:jc w:val="both"/>
        <w:rPr>
          <w:rFonts w:ascii="Arial" w:hAnsi="Arial" w:cs="Arial"/>
          <w:b/>
          <w:sz w:val="16"/>
          <w:szCs w:val="16"/>
          <w:lang w:val="en-US"/>
        </w:rPr>
      </w:pPr>
    </w:p>
    <w:p w:rsidR="008F0994" w:rsidRPr="009D3CE8" w:rsidRDefault="008F0994" w:rsidP="008F0994">
      <w:pPr>
        <w:pStyle w:val="Paragrafoelenco1"/>
        <w:numPr>
          <w:ilvl w:val="0"/>
          <w:numId w:val="8"/>
        </w:numPr>
        <w:spacing w:after="0" w:line="288" w:lineRule="auto"/>
        <w:ind w:left="0"/>
        <w:jc w:val="both"/>
        <w:rPr>
          <w:rFonts w:ascii="Arial" w:hAnsi="Arial" w:cs="Arial"/>
          <w:sz w:val="16"/>
          <w:szCs w:val="16"/>
          <w:lang w:val="en-US"/>
        </w:rPr>
      </w:pPr>
      <w:proofErr w:type="spellStart"/>
      <w:r w:rsidRPr="009D3CE8">
        <w:rPr>
          <w:rFonts w:ascii="Arial" w:hAnsi="Arial" w:cs="Arial"/>
          <w:sz w:val="16"/>
          <w:szCs w:val="16"/>
          <w:lang w:val="en-US"/>
        </w:rPr>
        <w:t>Becchetti</w:t>
      </w:r>
      <w:proofErr w:type="spellEnd"/>
      <w:r w:rsidRPr="009D3CE8">
        <w:rPr>
          <w:rFonts w:ascii="Arial" w:hAnsi="Arial" w:cs="Arial"/>
          <w:sz w:val="16"/>
          <w:szCs w:val="16"/>
          <w:lang w:val="en-US"/>
        </w:rPr>
        <w:t xml:space="preserve"> L., </w:t>
      </w:r>
      <w:proofErr w:type="spellStart"/>
      <w:r w:rsidRPr="009D3CE8">
        <w:rPr>
          <w:rFonts w:ascii="Arial" w:hAnsi="Arial" w:cs="Arial"/>
          <w:sz w:val="16"/>
          <w:szCs w:val="16"/>
          <w:lang w:val="en-US"/>
        </w:rPr>
        <w:t>Castriota</w:t>
      </w:r>
      <w:proofErr w:type="spellEnd"/>
      <w:r w:rsidRPr="009D3CE8">
        <w:rPr>
          <w:rFonts w:ascii="Arial" w:hAnsi="Arial" w:cs="Arial"/>
          <w:sz w:val="16"/>
          <w:szCs w:val="16"/>
          <w:lang w:val="en-US"/>
        </w:rPr>
        <w:t xml:space="preserve"> S., </w:t>
      </w:r>
      <w:proofErr w:type="spellStart"/>
      <w:r w:rsidRPr="009D3CE8">
        <w:rPr>
          <w:rFonts w:ascii="Arial" w:hAnsi="Arial" w:cs="Arial"/>
          <w:sz w:val="16"/>
          <w:szCs w:val="16"/>
          <w:lang w:val="en-US"/>
        </w:rPr>
        <w:t>Giuntella</w:t>
      </w:r>
      <w:proofErr w:type="spellEnd"/>
      <w:r w:rsidRPr="009D3CE8">
        <w:rPr>
          <w:rFonts w:ascii="Arial" w:hAnsi="Arial" w:cs="Arial"/>
          <w:sz w:val="16"/>
          <w:szCs w:val="16"/>
          <w:lang w:val="en-US"/>
        </w:rPr>
        <w:t xml:space="preserve"> O. (2010), “The Effects of Age and Job Protection on the Welfare Costs of Inflation and Unemployment”, European Journal of Political Economy, Vol. 26, pp. 137-146. </w:t>
      </w:r>
    </w:p>
    <w:p w:rsidR="008F0994" w:rsidRPr="009D3CE8" w:rsidRDefault="008F0994" w:rsidP="008F0994">
      <w:pPr>
        <w:pStyle w:val="Paragrafoelenco1"/>
        <w:spacing w:after="0" w:line="288" w:lineRule="auto"/>
        <w:ind w:left="0"/>
        <w:jc w:val="both"/>
        <w:rPr>
          <w:rFonts w:ascii="Arial" w:hAnsi="Arial" w:cs="Arial"/>
          <w:sz w:val="16"/>
          <w:szCs w:val="16"/>
          <w:lang w:val="en-US"/>
        </w:rPr>
      </w:pPr>
    </w:p>
    <w:p w:rsidR="008F0994" w:rsidRPr="009D3CE8" w:rsidRDefault="008F0994" w:rsidP="008F0994">
      <w:pPr>
        <w:pStyle w:val="Paragrafoelenco1"/>
        <w:numPr>
          <w:ilvl w:val="0"/>
          <w:numId w:val="8"/>
        </w:numPr>
        <w:spacing w:after="0" w:line="288" w:lineRule="auto"/>
        <w:ind w:left="0"/>
        <w:jc w:val="both"/>
        <w:rPr>
          <w:rFonts w:ascii="Arial" w:hAnsi="Arial" w:cs="Arial"/>
          <w:sz w:val="16"/>
          <w:szCs w:val="16"/>
          <w:lang w:val="en-US"/>
        </w:rPr>
      </w:pPr>
      <w:r w:rsidRPr="009D3CE8">
        <w:rPr>
          <w:rFonts w:ascii="Arial" w:hAnsi="Arial" w:cs="Arial"/>
          <w:sz w:val="16"/>
          <w:szCs w:val="16"/>
          <w:lang w:val="en-US"/>
        </w:rPr>
        <w:t xml:space="preserve">Di </w:t>
      </w:r>
      <w:proofErr w:type="spellStart"/>
      <w:r w:rsidRPr="009D3CE8">
        <w:rPr>
          <w:rFonts w:ascii="Arial" w:hAnsi="Arial" w:cs="Arial"/>
          <w:sz w:val="16"/>
          <w:szCs w:val="16"/>
          <w:lang w:val="en-US"/>
        </w:rPr>
        <w:t>Tella</w:t>
      </w:r>
      <w:proofErr w:type="spellEnd"/>
      <w:r w:rsidRPr="009D3CE8">
        <w:rPr>
          <w:rFonts w:ascii="Arial" w:hAnsi="Arial" w:cs="Arial"/>
          <w:sz w:val="16"/>
          <w:szCs w:val="16"/>
          <w:lang w:val="en-US"/>
        </w:rPr>
        <w:t xml:space="preserve"> R., </w:t>
      </w:r>
      <w:proofErr w:type="spellStart"/>
      <w:r w:rsidRPr="009D3CE8">
        <w:rPr>
          <w:rFonts w:ascii="Arial" w:hAnsi="Arial" w:cs="Arial"/>
          <w:sz w:val="16"/>
          <w:szCs w:val="16"/>
          <w:lang w:val="en-US"/>
        </w:rPr>
        <w:t>MacCulloch</w:t>
      </w:r>
      <w:proofErr w:type="spellEnd"/>
      <w:r w:rsidRPr="009D3CE8">
        <w:rPr>
          <w:rFonts w:ascii="Arial" w:hAnsi="Arial" w:cs="Arial"/>
          <w:sz w:val="16"/>
          <w:szCs w:val="16"/>
          <w:lang w:val="en-US"/>
        </w:rPr>
        <w:t xml:space="preserve"> R., Oswald A. (2001), “Preferences over Inflation and Unemployment: Evidence from Surveys of Happiness”, American Economic Review, Vol. 91, pp. 335-341.</w:t>
      </w:r>
    </w:p>
    <w:p w:rsidR="00723FCE" w:rsidRPr="009D3CE8" w:rsidRDefault="00723FCE" w:rsidP="008F0994">
      <w:pPr>
        <w:pStyle w:val="Paragrafoelenco1"/>
        <w:spacing w:after="0" w:line="288" w:lineRule="auto"/>
        <w:ind w:left="0" w:firstLine="709"/>
        <w:jc w:val="both"/>
        <w:rPr>
          <w:rFonts w:ascii="Arial" w:hAnsi="Arial" w:cs="Arial"/>
          <w:sz w:val="16"/>
          <w:szCs w:val="16"/>
          <w:lang w:val="en-US"/>
        </w:rPr>
      </w:pPr>
    </w:p>
    <w:sectPr w:rsidR="00723FCE" w:rsidRPr="009D3CE8" w:rsidSect="00F50828">
      <w:headerReference w:type="default" r:id="rId11"/>
      <w:footerReference w:type="default" r:id="rId12"/>
      <w:pgSz w:w="11906" w:h="16838" w:code="9"/>
      <w:pgMar w:top="964" w:right="1134" w:bottom="96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48" w:rsidRDefault="00A22648" w:rsidP="009E2AA9">
      <w:pPr>
        <w:spacing w:after="0" w:line="240" w:lineRule="auto"/>
      </w:pPr>
      <w:r>
        <w:separator/>
      </w:r>
    </w:p>
  </w:endnote>
  <w:endnote w:type="continuationSeparator" w:id="0">
    <w:p w:rsidR="00A22648" w:rsidRDefault="00A22648" w:rsidP="009E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A9" w:rsidRPr="00F820E5" w:rsidRDefault="009E2AA9" w:rsidP="009B6E3B">
    <w:pPr>
      <w:pStyle w:val="Pidipagina"/>
      <w:spacing w:before="24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48" w:rsidRDefault="00A22648" w:rsidP="009E2AA9">
      <w:pPr>
        <w:spacing w:after="0" w:line="240" w:lineRule="auto"/>
      </w:pPr>
      <w:r>
        <w:separator/>
      </w:r>
    </w:p>
  </w:footnote>
  <w:footnote w:type="continuationSeparator" w:id="0">
    <w:p w:rsidR="00A22648" w:rsidRDefault="00A22648" w:rsidP="009E2AA9">
      <w:pPr>
        <w:spacing w:after="0" w:line="240" w:lineRule="auto"/>
      </w:pPr>
      <w:r>
        <w:continuationSeparator/>
      </w:r>
    </w:p>
  </w:footnote>
  <w:footnote w:id="1">
    <w:p w:rsidR="00D414FB" w:rsidRPr="00B0110A" w:rsidRDefault="00D414FB" w:rsidP="00D414FB">
      <w:pPr>
        <w:pStyle w:val="Testonotaapidipagina"/>
        <w:jc w:val="both"/>
        <w:rPr>
          <w:rFonts w:ascii="Arial" w:hAnsi="Arial" w:cs="Arial"/>
          <w:sz w:val="16"/>
          <w:szCs w:val="16"/>
        </w:rPr>
      </w:pPr>
      <w:r w:rsidRPr="00F820E5">
        <w:rPr>
          <w:rStyle w:val="Rimandonotaapidipagina"/>
          <w:rFonts w:ascii="Arial" w:hAnsi="Arial" w:cs="Arial"/>
          <w:sz w:val="18"/>
        </w:rPr>
        <w:footnoteRef/>
      </w:r>
      <w:r w:rsidRPr="00F820E5">
        <w:rPr>
          <w:rFonts w:ascii="Arial" w:hAnsi="Arial" w:cs="Arial"/>
          <w:sz w:val="18"/>
        </w:rPr>
        <w:t xml:space="preserve"> </w:t>
      </w:r>
      <w:r w:rsidRPr="00B0110A">
        <w:rPr>
          <w:rFonts w:ascii="Arial" w:hAnsi="Arial" w:cs="Arial"/>
          <w:sz w:val="16"/>
          <w:szCs w:val="16"/>
        </w:rPr>
        <w:t xml:space="preserve">Il </w:t>
      </w:r>
      <w:proofErr w:type="spellStart"/>
      <w:r w:rsidRPr="00B0110A">
        <w:rPr>
          <w:rFonts w:ascii="Arial" w:hAnsi="Arial" w:cs="Arial"/>
          <w:sz w:val="16"/>
          <w:szCs w:val="16"/>
        </w:rPr>
        <w:t>Misery</w:t>
      </w:r>
      <w:proofErr w:type="spellEnd"/>
      <w:r w:rsidRPr="00B0110A">
        <w:rPr>
          <w:rFonts w:ascii="Arial" w:hAnsi="Arial" w:cs="Arial"/>
          <w:sz w:val="16"/>
          <w:szCs w:val="16"/>
        </w:rPr>
        <w:t xml:space="preserve"> Index Confcommercio (MIC) misura mensilmente il disagio sociale causato dalla disoccupazione estesa (disoccupati, cassaintegrati e scoraggiati) e dalla variazione percentuale dei prezzi dei beni e servizi ad alta frequenza d’acquisto.</w:t>
      </w:r>
    </w:p>
  </w:footnote>
  <w:footnote w:id="2">
    <w:p w:rsidR="00D414FB" w:rsidRPr="00B0110A" w:rsidRDefault="00D414FB" w:rsidP="00D414FB">
      <w:pPr>
        <w:pStyle w:val="Testonotaapidipagina"/>
        <w:jc w:val="both"/>
        <w:rPr>
          <w:sz w:val="16"/>
          <w:szCs w:val="16"/>
        </w:rPr>
      </w:pPr>
      <w:r w:rsidRPr="00B0110A">
        <w:rPr>
          <w:rStyle w:val="Rimandonotaapidipagina"/>
          <w:sz w:val="16"/>
          <w:szCs w:val="16"/>
        </w:rPr>
        <w:footnoteRef/>
      </w:r>
      <w:r w:rsidRPr="00B0110A">
        <w:rPr>
          <w:sz w:val="16"/>
          <w:szCs w:val="16"/>
        </w:rPr>
        <w:t xml:space="preserve"> </w:t>
      </w:r>
      <w:r w:rsidRPr="00B0110A">
        <w:rPr>
          <w:rFonts w:ascii="Arial" w:hAnsi="Arial" w:cs="Arial"/>
          <w:sz w:val="16"/>
          <w:szCs w:val="16"/>
        </w:rPr>
        <w:t>A giugno 2014 è stato effettuato un aggiornamento degli archivi INPS che ha determinato variazioni rispetto ai dati pubblicati in precedenza.</w:t>
      </w:r>
    </w:p>
  </w:footnote>
  <w:footnote w:id="3">
    <w:p w:rsidR="00D414FB" w:rsidRPr="00B0110A" w:rsidRDefault="00D414FB" w:rsidP="00D414FB">
      <w:pPr>
        <w:pStyle w:val="Testonotaapidipagina"/>
        <w:jc w:val="both"/>
        <w:rPr>
          <w:rFonts w:ascii="Arial" w:hAnsi="Arial" w:cs="Arial"/>
          <w:sz w:val="16"/>
          <w:szCs w:val="16"/>
        </w:rPr>
      </w:pPr>
      <w:r w:rsidRPr="00B0110A">
        <w:rPr>
          <w:rStyle w:val="Rimandonotaapidipagina"/>
          <w:sz w:val="16"/>
          <w:szCs w:val="16"/>
        </w:rPr>
        <w:footnoteRef/>
      </w:r>
      <w:r w:rsidRPr="00B0110A">
        <w:rPr>
          <w:sz w:val="16"/>
          <w:szCs w:val="16"/>
        </w:rPr>
        <w:t xml:space="preserve"> </w:t>
      </w:r>
      <w:r w:rsidRPr="00B0110A">
        <w:rPr>
          <w:rFonts w:ascii="Arial" w:hAnsi="Arial" w:cs="Arial"/>
          <w:sz w:val="16"/>
          <w:szCs w:val="16"/>
        </w:rPr>
        <w:t>Gli scoraggiati sono definiti come coloro che (1) si dichiarano in cerca di lavoro, (2) sono disponibili a lavorare nelle due settimane successive a quelle dell’intervista e (3) anche se non lo hanno fatto nelle ultime quattro settimane, affermano di aver compiuto una o più azioni di ricerca da 2 a 3 mesi prima dell’intervista.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CE" w:rsidRDefault="00DB2FCE">
    <w:pPr>
      <w:pStyle w:val="Intestazione"/>
      <w:pBdr>
        <w:between w:val="single" w:sz="4" w:space="1" w:color="4F81BD" w:themeColor="accent1"/>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B18"/>
    <w:multiLevelType w:val="hybridMultilevel"/>
    <w:tmpl w:val="037E34F4"/>
    <w:lvl w:ilvl="0" w:tplc="C32E4740">
      <w:start w:val="1"/>
      <w:numFmt w:val="decimal"/>
      <w:lvlText w:val="%1."/>
      <w:lvlJc w:val="left"/>
      <w:pPr>
        <w:ind w:left="1429" w:hanging="360"/>
      </w:pPr>
      <w:rPr>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1EE97BDF"/>
    <w:multiLevelType w:val="hybridMultilevel"/>
    <w:tmpl w:val="675A5D8E"/>
    <w:lvl w:ilvl="0" w:tplc="F5788B4C">
      <w:start w:val="20"/>
      <w:numFmt w:val="bullet"/>
      <w:lvlText w:val=""/>
      <w:lvlJc w:val="left"/>
      <w:pPr>
        <w:ind w:left="927" w:hanging="360"/>
      </w:pPr>
      <w:rPr>
        <w:rFonts w:ascii="Symbol" w:eastAsiaTheme="minorHAnsi" w:hAnsi="Symbo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1F1F1D5C"/>
    <w:multiLevelType w:val="hybridMultilevel"/>
    <w:tmpl w:val="1AB051EC"/>
    <w:lvl w:ilvl="0" w:tplc="98D216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656D7C"/>
    <w:multiLevelType w:val="hybridMultilevel"/>
    <w:tmpl w:val="22F6B960"/>
    <w:lvl w:ilvl="0" w:tplc="0EA4109A">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F62852"/>
    <w:multiLevelType w:val="hybridMultilevel"/>
    <w:tmpl w:val="974017C2"/>
    <w:lvl w:ilvl="0" w:tplc="EE9C919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BFA4667"/>
    <w:multiLevelType w:val="hybridMultilevel"/>
    <w:tmpl w:val="639A7ECE"/>
    <w:lvl w:ilvl="0" w:tplc="56767434">
      <w:numFmt w:val="bullet"/>
      <w:lvlText w:val=""/>
      <w:lvlJc w:val="left"/>
      <w:pPr>
        <w:ind w:left="927" w:hanging="360"/>
      </w:pPr>
      <w:rPr>
        <w:rFonts w:ascii="Symbol" w:eastAsiaTheme="minorHAnsi" w:hAnsi="Symbol" w:cs="Arial" w:hint="default"/>
        <w:i/>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41D30B58"/>
    <w:multiLevelType w:val="hybridMultilevel"/>
    <w:tmpl w:val="A2E245B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4D212AA6"/>
    <w:multiLevelType w:val="hybridMultilevel"/>
    <w:tmpl w:val="D9ECD786"/>
    <w:lvl w:ilvl="0" w:tplc="C32E4740">
      <w:start w:val="1"/>
      <w:numFmt w:val="decimal"/>
      <w:lvlText w:val="%1."/>
      <w:lvlJc w:val="left"/>
      <w:pPr>
        <w:ind w:left="1429"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07C21C9"/>
    <w:multiLevelType w:val="hybridMultilevel"/>
    <w:tmpl w:val="C22C9596"/>
    <w:lvl w:ilvl="0" w:tplc="0EA4109A">
      <w:numFmt w:val="bullet"/>
      <w:lvlText w:val="-"/>
      <w:lvlJc w:val="left"/>
      <w:pPr>
        <w:ind w:left="1429" w:hanging="360"/>
      </w:pPr>
      <w:rPr>
        <w:rFonts w:ascii="Arial" w:eastAsia="Times New Roman" w:hAnsi="Arial" w:cs="Arial" w:hint="default"/>
        <w:b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75842D86"/>
    <w:multiLevelType w:val="hybridMultilevel"/>
    <w:tmpl w:val="51441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CE"/>
    <w:rsid w:val="00002EF3"/>
    <w:rsid w:val="00010827"/>
    <w:rsid w:val="00017513"/>
    <w:rsid w:val="000312F5"/>
    <w:rsid w:val="00034D73"/>
    <w:rsid w:val="000411EC"/>
    <w:rsid w:val="00055AF7"/>
    <w:rsid w:val="000630BB"/>
    <w:rsid w:val="000648DF"/>
    <w:rsid w:val="00065DF9"/>
    <w:rsid w:val="00067EA9"/>
    <w:rsid w:val="00070E25"/>
    <w:rsid w:val="00080CB8"/>
    <w:rsid w:val="000812E9"/>
    <w:rsid w:val="00081E30"/>
    <w:rsid w:val="00094ABE"/>
    <w:rsid w:val="000A1983"/>
    <w:rsid w:val="000A7412"/>
    <w:rsid w:val="000B468C"/>
    <w:rsid w:val="000C0B86"/>
    <w:rsid w:val="000D15D2"/>
    <w:rsid w:val="000D3060"/>
    <w:rsid w:val="000D647A"/>
    <w:rsid w:val="000E110D"/>
    <w:rsid w:val="000E5D30"/>
    <w:rsid w:val="000E74BB"/>
    <w:rsid w:val="000F289C"/>
    <w:rsid w:val="000F7472"/>
    <w:rsid w:val="00105A05"/>
    <w:rsid w:val="00111B2F"/>
    <w:rsid w:val="00120CAE"/>
    <w:rsid w:val="00130EA2"/>
    <w:rsid w:val="00134449"/>
    <w:rsid w:val="00141D7E"/>
    <w:rsid w:val="001459C1"/>
    <w:rsid w:val="00151A25"/>
    <w:rsid w:val="001524D5"/>
    <w:rsid w:val="001552D2"/>
    <w:rsid w:val="00163424"/>
    <w:rsid w:val="00165FA5"/>
    <w:rsid w:val="00167028"/>
    <w:rsid w:val="00184BA2"/>
    <w:rsid w:val="001965B6"/>
    <w:rsid w:val="00197A70"/>
    <w:rsid w:val="001D4987"/>
    <w:rsid w:val="001E0D21"/>
    <w:rsid w:val="001E1144"/>
    <w:rsid w:val="001E453A"/>
    <w:rsid w:val="002038E3"/>
    <w:rsid w:val="002120FF"/>
    <w:rsid w:val="002142C9"/>
    <w:rsid w:val="002209CC"/>
    <w:rsid w:val="00222A01"/>
    <w:rsid w:val="002235A3"/>
    <w:rsid w:val="0022446D"/>
    <w:rsid w:val="00230BED"/>
    <w:rsid w:val="00243CC6"/>
    <w:rsid w:val="00252B02"/>
    <w:rsid w:val="00273DE8"/>
    <w:rsid w:val="00277643"/>
    <w:rsid w:val="002776B9"/>
    <w:rsid w:val="002814FA"/>
    <w:rsid w:val="00283C4D"/>
    <w:rsid w:val="002935BC"/>
    <w:rsid w:val="00296E9E"/>
    <w:rsid w:val="002B3E90"/>
    <w:rsid w:val="002B464C"/>
    <w:rsid w:val="002C078E"/>
    <w:rsid w:val="002C5B50"/>
    <w:rsid w:val="002D0B05"/>
    <w:rsid w:val="002D70BB"/>
    <w:rsid w:val="002E1133"/>
    <w:rsid w:val="002E32D6"/>
    <w:rsid w:val="002F5129"/>
    <w:rsid w:val="002F7928"/>
    <w:rsid w:val="003020EA"/>
    <w:rsid w:val="00312690"/>
    <w:rsid w:val="00315E04"/>
    <w:rsid w:val="003236BD"/>
    <w:rsid w:val="00343855"/>
    <w:rsid w:val="003607D8"/>
    <w:rsid w:val="00370B42"/>
    <w:rsid w:val="00370D97"/>
    <w:rsid w:val="0037486B"/>
    <w:rsid w:val="00376C50"/>
    <w:rsid w:val="00386089"/>
    <w:rsid w:val="00392B41"/>
    <w:rsid w:val="003A3042"/>
    <w:rsid w:val="003A4AF0"/>
    <w:rsid w:val="003B0C59"/>
    <w:rsid w:val="003C162B"/>
    <w:rsid w:val="003C5BE8"/>
    <w:rsid w:val="003D647F"/>
    <w:rsid w:val="003E26B4"/>
    <w:rsid w:val="003E3763"/>
    <w:rsid w:val="003F295F"/>
    <w:rsid w:val="003F36D6"/>
    <w:rsid w:val="003F4532"/>
    <w:rsid w:val="003F50CF"/>
    <w:rsid w:val="003F6F68"/>
    <w:rsid w:val="00401D54"/>
    <w:rsid w:val="004118A7"/>
    <w:rsid w:val="004160A8"/>
    <w:rsid w:val="00421CFE"/>
    <w:rsid w:val="00425DA3"/>
    <w:rsid w:val="004304BA"/>
    <w:rsid w:val="004327D0"/>
    <w:rsid w:val="00437F6D"/>
    <w:rsid w:val="00442AC3"/>
    <w:rsid w:val="004519E9"/>
    <w:rsid w:val="00453A1D"/>
    <w:rsid w:val="004547D3"/>
    <w:rsid w:val="004712EB"/>
    <w:rsid w:val="00480E3C"/>
    <w:rsid w:val="00481970"/>
    <w:rsid w:val="0048214B"/>
    <w:rsid w:val="00494AFF"/>
    <w:rsid w:val="004A06FC"/>
    <w:rsid w:val="004C07F2"/>
    <w:rsid w:val="004C37C9"/>
    <w:rsid w:val="004D0164"/>
    <w:rsid w:val="004D28DB"/>
    <w:rsid w:val="004D6DA4"/>
    <w:rsid w:val="004E0222"/>
    <w:rsid w:val="004E248E"/>
    <w:rsid w:val="004F07C6"/>
    <w:rsid w:val="004F6AEC"/>
    <w:rsid w:val="00500DBC"/>
    <w:rsid w:val="005068A5"/>
    <w:rsid w:val="00516CA6"/>
    <w:rsid w:val="0052143B"/>
    <w:rsid w:val="00527745"/>
    <w:rsid w:val="00530BBF"/>
    <w:rsid w:val="00532CD7"/>
    <w:rsid w:val="00534C8E"/>
    <w:rsid w:val="00554044"/>
    <w:rsid w:val="005547A7"/>
    <w:rsid w:val="005658E3"/>
    <w:rsid w:val="00576A78"/>
    <w:rsid w:val="00591EC1"/>
    <w:rsid w:val="005A2C25"/>
    <w:rsid w:val="005B0161"/>
    <w:rsid w:val="005C10ED"/>
    <w:rsid w:val="005C1C11"/>
    <w:rsid w:val="00600468"/>
    <w:rsid w:val="00600AC1"/>
    <w:rsid w:val="006048DD"/>
    <w:rsid w:val="00614FE9"/>
    <w:rsid w:val="0061766F"/>
    <w:rsid w:val="0062550E"/>
    <w:rsid w:val="00640849"/>
    <w:rsid w:val="00643283"/>
    <w:rsid w:val="00660BAF"/>
    <w:rsid w:val="00661B78"/>
    <w:rsid w:val="00664AA0"/>
    <w:rsid w:val="006802EB"/>
    <w:rsid w:val="00680BC4"/>
    <w:rsid w:val="006858C7"/>
    <w:rsid w:val="006A3306"/>
    <w:rsid w:val="006A7F22"/>
    <w:rsid w:val="006B510D"/>
    <w:rsid w:val="006B7DEE"/>
    <w:rsid w:val="006B7FC5"/>
    <w:rsid w:val="006E1304"/>
    <w:rsid w:val="006E7155"/>
    <w:rsid w:val="0070644A"/>
    <w:rsid w:val="00710FD0"/>
    <w:rsid w:val="00723FCE"/>
    <w:rsid w:val="00724640"/>
    <w:rsid w:val="00730D13"/>
    <w:rsid w:val="00741B94"/>
    <w:rsid w:val="00742646"/>
    <w:rsid w:val="00742E19"/>
    <w:rsid w:val="007506E2"/>
    <w:rsid w:val="00760144"/>
    <w:rsid w:val="00766262"/>
    <w:rsid w:val="00770831"/>
    <w:rsid w:val="0077087E"/>
    <w:rsid w:val="007709B4"/>
    <w:rsid w:val="007713AA"/>
    <w:rsid w:val="0077673E"/>
    <w:rsid w:val="0079138C"/>
    <w:rsid w:val="00791742"/>
    <w:rsid w:val="007A32AD"/>
    <w:rsid w:val="007A7105"/>
    <w:rsid w:val="007B7073"/>
    <w:rsid w:val="007C00EA"/>
    <w:rsid w:val="007D33D4"/>
    <w:rsid w:val="007D6258"/>
    <w:rsid w:val="007D6730"/>
    <w:rsid w:val="007D752C"/>
    <w:rsid w:val="007E0858"/>
    <w:rsid w:val="007E219B"/>
    <w:rsid w:val="007E2E56"/>
    <w:rsid w:val="007F0CD3"/>
    <w:rsid w:val="00802EFF"/>
    <w:rsid w:val="00804D16"/>
    <w:rsid w:val="008118D7"/>
    <w:rsid w:val="00814AA7"/>
    <w:rsid w:val="00823AE3"/>
    <w:rsid w:val="00825414"/>
    <w:rsid w:val="00825E9E"/>
    <w:rsid w:val="00826E40"/>
    <w:rsid w:val="00841739"/>
    <w:rsid w:val="0084584A"/>
    <w:rsid w:val="00851934"/>
    <w:rsid w:val="00852BA1"/>
    <w:rsid w:val="0087104A"/>
    <w:rsid w:val="00873AEE"/>
    <w:rsid w:val="00877C3D"/>
    <w:rsid w:val="00883AED"/>
    <w:rsid w:val="00891266"/>
    <w:rsid w:val="00896943"/>
    <w:rsid w:val="008A2D75"/>
    <w:rsid w:val="008A4979"/>
    <w:rsid w:val="008A4CEF"/>
    <w:rsid w:val="008E42FB"/>
    <w:rsid w:val="008E5574"/>
    <w:rsid w:val="008E7FC7"/>
    <w:rsid w:val="008F0994"/>
    <w:rsid w:val="008F7F81"/>
    <w:rsid w:val="00901CDB"/>
    <w:rsid w:val="009041FA"/>
    <w:rsid w:val="00907E33"/>
    <w:rsid w:val="00931964"/>
    <w:rsid w:val="00956C16"/>
    <w:rsid w:val="00962738"/>
    <w:rsid w:val="00974101"/>
    <w:rsid w:val="0098126E"/>
    <w:rsid w:val="00981EEC"/>
    <w:rsid w:val="00994874"/>
    <w:rsid w:val="009974AB"/>
    <w:rsid w:val="00997A5C"/>
    <w:rsid w:val="009A0FEA"/>
    <w:rsid w:val="009B1DCC"/>
    <w:rsid w:val="009B27E2"/>
    <w:rsid w:val="009B68EE"/>
    <w:rsid w:val="009B6E3B"/>
    <w:rsid w:val="009B7D22"/>
    <w:rsid w:val="009C2EFE"/>
    <w:rsid w:val="009C2FD3"/>
    <w:rsid w:val="009D249A"/>
    <w:rsid w:val="009D3CE8"/>
    <w:rsid w:val="009E23EE"/>
    <w:rsid w:val="009E2AA9"/>
    <w:rsid w:val="009E4D96"/>
    <w:rsid w:val="00A01BD6"/>
    <w:rsid w:val="00A1342C"/>
    <w:rsid w:val="00A16FEC"/>
    <w:rsid w:val="00A22648"/>
    <w:rsid w:val="00A22A70"/>
    <w:rsid w:val="00A43536"/>
    <w:rsid w:val="00A4553A"/>
    <w:rsid w:val="00A77ECC"/>
    <w:rsid w:val="00A855DF"/>
    <w:rsid w:val="00A901FB"/>
    <w:rsid w:val="00A9029D"/>
    <w:rsid w:val="00A911D3"/>
    <w:rsid w:val="00A9132D"/>
    <w:rsid w:val="00A91DB5"/>
    <w:rsid w:val="00AB30F5"/>
    <w:rsid w:val="00AB5FD9"/>
    <w:rsid w:val="00AC07AC"/>
    <w:rsid w:val="00AC12DD"/>
    <w:rsid w:val="00AC399C"/>
    <w:rsid w:val="00AC4E51"/>
    <w:rsid w:val="00AD0A88"/>
    <w:rsid w:val="00AD114B"/>
    <w:rsid w:val="00AE0CFF"/>
    <w:rsid w:val="00AF52E5"/>
    <w:rsid w:val="00B010FF"/>
    <w:rsid w:val="00B0110A"/>
    <w:rsid w:val="00B02B85"/>
    <w:rsid w:val="00B032AE"/>
    <w:rsid w:val="00B052E7"/>
    <w:rsid w:val="00B11504"/>
    <w:rsid w:val="00B14852"/>
    <w:rsid w:val="00B14AB8"/>
    <w:rsid w:val="00B16438"/>
    <w:rsid w:val="00B178EE"/>
    <w:rsid w:val="00B25DC3"/>
    <w:rsid w:val="00B26652"/>
    <w:rsid w:val="00B266EA"/>
    <w:rsid w:val="00B36B74"/>
    <w:rsid w:val="00B60F4C"/>
    <w:rsid w:val="00B63293"/>
    <w:rsid w:val="00B65BDE"/>
    <w:rsid w:val="00B6749E"/>
    <w:rsid w:val="00B71B6F"/>
    <w:rsid w:val="00B769D1"/>
    <w:rsid w:val="00B80751"/>
    <w:rsid w:val="00B87C6F"/>
    <w:rsid w:val="00B91162"/>
    <w:rsid w:val="00B91EB5"/>
    <w:rsid w:val="00B92957"/>
    <w:rsid w:val="00B9617D"/>
    <w:rsid w:val="00BA16DE"/>
    <w:rsid w:val="00BA4696"/>
    <w:rsid w:val="00BA5EF9"/>
    <w:rsid w:val="00BA7CA1"/>
    <w:rsid w:val="00BB0509"/>
    <w:rsid w:val="00BB6C71"/>
    <w:rsid w:val="00BC0751"/>
    <w:rsid w:val="00BC5B69"/>
    <w:rsid w:val="00BD1679"/>
    <w:rsid w:val="00BD59B8"/>
    <w:rsid w:val="00BE1F73"/>
    <w:rsid w:val="00BF4F80"/>
    <w:rsid w:val="00C06194"/>
    <w:rsid w:val="00C07E30"/>
    <w:rsid w:val="00C229C6"/>
    <w:rsid w:val="00C3165A"/>
    <w:rsid w:val="00C33FF5"/>
    <w:rsid w:val="00C45350"/>
    <w:rsid w:val="00C4776D"/>
    <w:rsid w:val="00C512C0"/>
    <w:rsid w:val="00C54942"/>
    <w:rsid w:val="00C562CD"/>
    <w:rsid w:val="00C67FC4"/>
    <w:rsid w:val="00C7303C"/>
    <w:rsid w:val="00C75D8B"/>
    <w:rsid w:val="00C83B89"/>
    <w:rsid w:val="00C93494"/>
    <w:rsid w:val="00C94454"/>
    <w:rsid w:val="00C94C41"/>
    <w:rsid w:val="00CA265C"/>
    <w:rsid w:val="00CA63E4"/>
    <w:rsid w:val="00CA67E3"/>
    <w:rsid w:val="00CA6D75"/>
    <w:rsid w:val="00CB223B"/>
    <w:rsid w:val="00CB280E"/>
    <w:rsid w:val="00CB50D9"/>
    <w:rsid w:val="00CB5625"/>
    <w:rsid w:val="00CB5B21"/>
    <w:rsid w:val="00CC4A8F"/>
    <w:rsid w:val="00CD2E5A"/>
    <w:rsid w:val="00CE41BA"/>
    <w:rsid w:val="00CE4903"/>
    <w:rsid w:val="00CF4AA2"/>
    <w:rsid w:val="00CF5325"/>
    <w:rsid w:val="00D20FF3"/>
    <w:rsid w:val="00D248BD"/>
    <w:rsid w:val="00D3724F"/>
    <w:rsid w:val="00D414FB"/>
    <w:rsid w:val="00D47053"/>
    <w:rsid w:val="00D47510"/>
    <w:rsid w:val="00D60512"/>
    <w:rsid w:val="00D70E5F"/>
    <w:rsid w:val="00D70E72"/>
    <w:rsid w:val="00D728DB"/>
    <w:rsid w:val="00D75BB6"/>
    <w:rsid w:val="00D76A90"/>
    <w:rsid w:val="00D76F8A"/>
    <w:rsid w:val="00D81E64"/>
    <w:rsid w:val="00D85468"/>
    <w:rsid w:val="00D86937"/>
    <w:rsid w:val="00D96379"/>
    <w:rsid w:val="00DA245B"/>
    <w:rsid w:val="00DA44B0"/>
    <w:rsid w:val="00DB2D7A"/>
    <w:rsid w:val="00DB2FCE"/>
    <w:rsid w:val="00DB4AAE"/>
    <w:rsid w:val="00DB6DCD"/>
    <w:rsid w:val="00DB7CFD"/>
    <w:rsid w:val="00DC53A0"/>
    <w:rsid w:val="00DC5787"/>
    <w:rsid w:val="00DD70EC"/>
    <w:rsid w:val="00DE624C"/>
    <w:rsid w:val="00DE6F17"/>
    <w:rsid w:val="00DF4992"/>
    <w:rsid w:val="00E102FD"/>
    <w:rsid w:val="00E162FE"/>
    <w:rsid w:val="00E355C9"/>
    <w:rsid w:val="00E43502"/>
    <w:rsid w:val="00E45B97"/>
    <w:rsid w:val="00E46AAB"/>
    <w:rsid w:val="00E501D5"/>
    <w:rsid w:val="00E56EA6"/>
    <w:rsid w:val="00E64EF8"/>
    <w:rsid w:val="00E66B80"/>
    <w:rsid w:val="00E67BEF"/>
    <w:rsid w:val="00E70785"/>
    <w:rsid w:val="00E72169"/>
    <w:rsid w:val="00E85A03"/>
    <w:rsid w:val="00E87698"/>
    <w:rsid w:val="00E94C13"/>
    <w:rsid w:val="00EA6091"/>
    <w:rsid w:val="00EB0128"/>
    <w:rsid w:val="00EB7EDB"/>
    <w:rsid w:val="00EE120F"/>
    <w:rsid w:val="00EE5BAC"/>
    <w:rsid w:val="00EF0036"/>
    <w:rsid w:val="00EF49AC"/>
    <w:rsid w:val="00F01FE3"/>
    <w:rsid w:val="00F049E7"/>
    <w:rsid w:val="00F07515"/>
    <w:rsid w:val="00F16246"/>
    <w:rsid w:val="00F24BEE"/>
    <w:rsid w:val="00F25DDE"/>
    <w:rsid w:val="00F26D9B"/>
    <w:rsid w:val="00F31C88"/>
    <w:rsid w:val="00F322C1"/>
    <w:rsid w:val="00F32C9E"/>
    <w:rsid w:val="00F34ECC"/>
    <w:rsid w:val="00F43D2B"/>
    <w:rsid w:val="00F50828"/>
    <w:rsid w:val="00F518A9"/>
    <w:rsid w:val="00F543A1"/>
    <w:rsid w:val="00F62325"/>
    <w:rsid w:val="00F65482"/>
    <w:rsid w:val="00F66096"/>
    <w:rsid w:val="00F820E5"/>
    <w:rsid w:val="00F8261E"/>
    <w:rsid w:val="00FA294D"/>
    <w:rsid w:val="00FA5C25"/>
    <w:rsid w:val="00FA5CB8"/>
    <w:rsid w:val="00FB0A40"/>
    <w:rsid w:val="00FB10C2"/>
    <w:rsid w:val="00FB3211"/>
    <w:rsid w:val="00FB3C22"/>
    <w:rsid w:val="00FC1930"/>
    <w:rsid w:val="00FC5C5B"/>
    <w:rsid w:val="00FD7DCE"/>
    <w:rsid w:val="00FE42F4"/>
    <w:rsid w:val="00FE5103"/>
    <w:rsid w:val="00FF3424"/>
    <w:rsid w:val="00FF38A0"/>
    <w:rsid w:val="00FF4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FCE"/>
    <w:rPr>
      <w:rFonts w:ascii="Tahoma" w:hAnsi="Tahoma" w:cs="Tahoma"/>
      <w:sz w:val="16"/>
      <w:szCs w:val="16"/>
    </w:rPr>
  </w:style>
  <w:style w:type="paragraph" w:styleId="NormaleWeb">
    <w:name w:val="Normal (Web)"/>
    <w:basedOn w:val="Normale"/>
    <w:uiPriority w:val="99"/>
    <w:semiHidden/>
    <w:unhideWhenUsed/>
    <w:rsid w:val="00723FC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23FCE"/>
    <w:pPr>
      <w:ind w:left="720"/>
      <w:contextualSpacing/>
    </w:pPr>
  </w:style>
  <w:style w:type="paragraph" w:styleId="Intestazione">
    <w:name w:val="header"/>
    <w:basedOn w:val="Normale"/>
    <w:link w:val="IntestazioneCarattere"/>
    <w:uiPriority w:val="99"/>
    <w:unhideWhenUsed/>
    <w:rsid w:val="009E2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AA9"/>
  </w:style>
  <w:style w:type="paragraph" w:styleId="Pidipagina">
    <w:name w:val="footer"/>
    <w:basedOn w:val="Normale"/>
    <w:link w:val="PidipaginaCarattere"/>
    <w:uiPriority w:val="99"/>
    <w:unhideWhenUsed/>
    <w:rsid w:val="009E2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AA9"/>
  </w:style>
  <w:style w:type="paragraph" w:styleId="Corpotesto">
    <w:name w:val="Body Text"/>
    <w:basedOn w:val="Normale"/>
    <w:link w:val="CorpotestoCarattere"/>
    <w:semiHidden/>
    <w:rsid w:val="00994874"/>
    <w:pPr>
      <w:spacing w:after="0" w:line="240" w:lineRule="auto"/>
      <w:jc w:val="both"/>
    </w:pPr>
    <w:rPr>
      <w:rFonts w:ascii="Verdana" w:eastAsia="Times New Roman" w:hAnsi="Verdana" w:cs="Times New Roman"/>
      <w:sz w:val="20"/>
      <w:szCs w:val="24"/>
      <w:lang w:eastAsia="it-IT"/>
    </w:rPr>
  </w:style>
  <w:style w:type="character" w:customStyle="1" w:styleId="CorpotestoCarattere">
    <w:name w:val="Corpo testo Carattere"/>
    <w:basedOn w:val="Carpredefinitoparagrafo"/>
    <w:link w:val="Corpotesto"/>
    <w:semiHidden/>
    <w:rsid w:val="00994874"/>
    <w:rPr>
      <w:rFonts w:ascii="Verdana" w:eastAsia="Times New Roman" w:hAnsi="Verdana" w:cs="Times New Roman"/>
      <w:sz w:val="20"/>
      <w:szCs w:val="24"/>
      <w:lang w:eastAsia="it-IT"/>
    </w:rPr>
  </w:style>
  <w:style w:type="paragraph" w:customStyle="1" w:styleId="Paragrafoelenco1">
    <w:name w:val="Paragrafo elenco1"/>
    <w:basedOn w:val="Normale"/>
    <w:rsid w:val="0061766F"/>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BC07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0751"/>
    <w:rPr>
      <w:sz w:val="20"/>
      <w:szCs w:val="20"/>
    </w:rPr>
  </w:style>
  <w:style w:type="character" w:styleId="Rimandonotaapidipagina">
    <w:name w:val="footnote reference"/>
    <w:basedOn w:val="Carpredefinitoparagrafo"/>
    <w:uiPriority w:val="99"/>
    <w:semiHidden/>
    <w:unhideWhenUsed/>
    <w:rsid w:val="00BC0751"/>
    <w:rPr>
      <w:vertAlign w:val="superscript"/>
    </w:rPr>
  </w:style>
  <w:style w:type="paragraph" w:styleId="Testonotadichiusura">
    <w:name w:val="endnote text"/>
    <w:basedOn w:val="Normale"/>
    <w:link w:val="TestonotadichiusuraCarattere"/>
    <w:uiPriority w:val="99"/>
    <w:semiHidden/>
    <w:unhideWhenUsed/>
    <w:rsid w:val="00C94C4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94C41"/>
    <w:rPr>
      <w:sz w:val="20"/>
      <w:szCs w:val="20"/>
    </w:rPr>
  </w:style>
  <w:style w:type="character" w:styleId="Rimandonotadichiusura">
    <w:name w:val="endnote reference"/>
    <w:basedOn w:val="Carpredefinitoparagrafo"/>
    <w:uiPriority w:val="99"/>
    <w:semiHidden/>
    <w:unhideWhenUsed/>
    <w:rsid w:val="00C94C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FCE"/>
    <w:rPr>
      <w:rFonts w:ascii="Tahoma" w:hAnsi="Tahoma" w:cs="Tahoma"/>
      <w:sz w:val="16"/>
      <w:szCs w:val="16"/>
    </w:rPr>
  </w:style>
  <w:style w:type="paragraph" w:styleId="NormaleWeb">
    <w:name w:val="Normal (Web)"/>
    <w:basedOn w:val="Normale"/>
    <w:uiPriority w:val="99"/>
    <w:semiHidden/>
    <w:unhideWhenUsed/>
    <w:rsid w:val="00723FC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23FCE"/>
    <w:pPr>
      <w:ind w:left="720"/>
      <w:contextualSpacing/>
    </w:pPr>
  </w:style>
  <w:style w:type="paragraph" w:styleId="Intestazione">
    <w:name w:val="header"/>
    <w:basedOn w:val="Normale"/>
    <w:link w:val="IntestazioneCarattere"/>
    <w:uiPriority w:val="99"/>
    <w:unhideWhenUsed/>
    <w:rsid w:val="009E2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AA9"/>
  </w:style>
  <w:style w:type="paragraph" w:styleId="Pidipagina">
    <w:name w:val="footer"/>
    <w:basedOn w:val="Normale"/>
    <w:link w:val="PidipaginaCarattere"/>
    <w:uiPriority w:val="99"/>
    <w:unhideWhenUsed/>
    <w:rsid w:val="009E2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AA9"/>
  </w:style>
  <w:style w:type="paragraph" w:styleId="Corpotesto">
    <w:name w:val="Body Text"/>
    <w:basedOn w:val="Normale"/>
    <w:link w:val="CorpotestoCarattere"/>
    <w:semiHidden/>
    <w:rsid w:val="00994874"/>
    <w:pPr>
      <w:spacing w:after="0" w:line="240" w:lineRule="auto"/>
      <w:jc w:val="both"/>
    </w:pPr>
    <w:rPr>
      <w:rFonts w:ascii="Verdana" w:eastAsia="Times New Roman" w:hAnsi="Verdana" w:cs="Times New Roman"/>
      <w:sz w:val="20"/>
      <w:szCs w:val="24"/>
      <w:lang w:eastAsia="it-IT"/>
    </w:rPr>
  </w:style>
  <w:style w:type="character" w:customStyle="1" w:styleId="CorpotestoCarattere">
    <w:name w:val="Corpo testo Carattere"/>
    <w:basedOn w:val="Carpredefinitoparagrafo"/>
    <w:link w:val="Corpotesto"/>
    <w:semiHidden/>
    <w:rsid w:val="00994874"/>
    <w:rPr>
      <w:rFonts w:ascii="Verdana" w:eastAsia="Times New Roman" w:hAnsi="Verdana" w:cs="Times New Roman"/>
      <w:sz w:val="20"/>
      <w:szCs w:val="24"/>
      <w:lang w:eastAsia="it-IT"/>
    </w:rPr>
  </w:style>
  <w:style w:type="paragraph" w:customStyle="1" w:styleId="Paragrafoelenco1">
    <w:name w:val="Paragrafo elenco1"/>
    <w:basedOn w:val="Normale"/>
    <w:rsid w:val="0061766F"/>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BC07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0751"/>
    <w:rPr>
      <w:sz w:val="20"/>
      <w:szCs w:val="20"/>
    </w:rPr>
  </w:style>
  <w:style w:type="character" w:styleId="Rimandonotaapidipagina">
    <w:name w:val="footnote reference"/>
    <w:basedOn w:val="Carpredefinitoparagrafo"/>
    <w:uiPriority w:val="99"/>
    <w:semiHidden/>
    <w:unhideWhenUsed/>
    <w:rsid w:val="00BC0751"/>
    <w:rPr>
      <w:vertAlign w:val="superscript"/>
    </w:rPr>
  </w:style>
  <w:style w:type="paragraph" w:styleId="Testonotadichiusura">
    <w:name w:val="endnote text"/>
    <w:basedOn w:val="Normale"/>
    <w:link w:val="TestonotadichiusuraCarattere"/>
    <w:uiPriority w:val="99"/>
    <w:semiHidden/>
    <w:unhideWhenUsed/>
    <w:rsid w:val="00C94C4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94C41"/>
    <w:rPr>
      <w:sz w:val="20"/>
      <w:szCs w:val="20"/>
    </w:rPr>
  </w:style>
  <w:style w:type="character" w:styleId="Rimandonotadichiusura">
    <w:name w:val="endnote reference"/>
    <w:basedOn w:val="Carpredefinitoparagrafo"/>
    <w:uiPriority w:val="99"/>
    <w:semiHidden/>
    <w:unhideWhenUsed/>
    <w:rsid w:val="00C94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2200">
      <w:bodyDiv w:val="1"/>
      <w:marLeft w:val="0"/>
      <w:marRight w:val="0"/>
      <w:marTop w:val="0"/>
      <w:marBottom w:val="0"/>
      <w:divBdr>
        <w:top w:val="none" w:sz="0" w:space="0" w:color="auto"/>
        <w:left w:val="none" w:sz="0" w:space="0" w:color="auto"/>
        <w:bottom w:val="none" w:sz="0" w:space="0" w:color="auto"/>
        <w:right w:val="none" w:sz="0" w:space="0" w:color="auto"/>
      </w:divBdr>
    </w:div>
    <w:div w:id="219563015">
      <w:bodyDiv w:val="1"/>
      <w:marLeft w:val="0"/>
      <w:marRight w:val="0"/>
      <w:marTop w:val="0"/>
      <w:marBottom w:val="0"/>
      <w:divBdr>
        <w:top w:val="none" w:sz="0" w:space="0" w:color="auto"/>
        <w:left w:val="none" w:sz="0" w:space="0" w:color="auto"/>
        <w:bottom w:val="none" w:sz="0" w:space="0" w:color="auto"/>
        <w:right w:val="none" w:sz="0" w:space="0" w:color="auto"/>
      </w:divBdr>
    </w:div>
    <w:div w:id="232275295">
      <w:bodyDiv w:val="1"/>
      <w:marLeft w:val="0"/>
      <w:marRight w:val="0"/>
      <w:marTop w:val="0"/>
      <w:marBottom w:val="0"/>
      <w:divBdr>
        <w:top w:val="none" w:sz="0" w:space="0" w:color="auto"/>
        <w:left w:val="none" w:sz="0" w:space="0" w:color="auto"/>
        <w:bottom w:val="none" w:sz="0" w:space="0" w:color="auto"/>
        <w:right w:val="none" w:sz="0" w:space="0" w:color="auto"/>
      </w:divBdr>
    </w:div>
    <w:div w:id="326058172">
      <w:bodyDiv w:val="1"/>
      <w:marLeft w:val="0"/>
      <w:marRight w:val="0"/>
      <w:marTop w:val="0"/>
      <w:marBottom w:val="0"/>
      <w:divBdr>
        <w:top w:val="none" w:sz="0" w:space="0" w:color="auto"/>
        <w:left w:val="none" w:sz="0" w:space="0" w:color="auto"/>
        <w:bottom w:val="none" w:sz="0" w:space="0" w:color="auto"/>
        <w:right w:val="none" w:sz="0" w:space="0" w:color="auto"/>
      </w:divBdr>
    </w:div>
    <w:div w:id="344481130">
      <w:bodyDiv w:val="1"/>
      <w:marLeft w:val="0"/>
      <w:marRight w:val="0"/>
      <w:marTop w:val="0"/>
      <w:marBottom w:val="0"/>
      <w:divBdr>
        <w:top w:val="none" w:sz="0" w:space="0" w:color="auto"/>
        <w:left w:val="none" w:sz="0" w:space="0" w:color="auto"/>
        <w:bottom w:val="none" w:sz="0" w:space="0" w:color="auto"/>
        <w:right w:val="none" w:sz="0" w:space="0" w:color="auto"/>
      </w:divBdr>
    </w:div>
    <w:div w:id="389426853">
      <w:bodyDiv w:val="1"/>
      <w:marLeft w:val="0"/>
      <w:marRight w:val="0"/>
      <w:marTop w:val="0"/>
      <w:marBottom w:val="0"/>
      <w:divBdr>
        <w:top w:val="none" w:sz="0" w:space="0" w:color="auto"/>
        <w:left w:val="none" w:sz="0" w:space="0" w:color="auto"/>
        <w:bottom w:val="none" w:sz="0" w:space="0" w:color="auto"/>
        <w:right w:val="none" w:sz="0" w:space="0" w:color="auto"/>
      </w:divBdr>
    </w:div>
    <w:div w:id="521282394">
      <w:bodyDiv w:val="1"/>
      <w:marLeft w:val="0"/>
      <w:marRight w:val="0"/>
      <w:marTop w:val="0"/>
      <w:marBottom w:val="0"/>
      <w:divBdr>
        <w:top w:val="none" w:sz="0" w:space="0" w:color="auto"/>
        <w:left w:val="none" w:sz="0" w:space="0" w:color="auto"/>
        <w:bottom w:val="none" w:sz="0" w:space="0" w:color="auto"/>
        <w:right w:val="none" w:sz="0" w:space="0" w:color="auto"/>
      </w:divBdr>
    </w:div>
    <w:div w:id="587615569">
      <w:bodyDiv w:val="1"/>
      <w:marLeft w:val="0"/>
      <w:marRight w:val="0"/>
      <w:marTop w:val="0"/>
      <w:marBottom w:val="0"/>
      <w:divBdr>
        <w:top w:val="none" w:sz="0" w:space="0" w:color="auto"/>
        <w:left w:val="none" w:sz="0" w:space="0" w:color="auto"/>
        <w:bottom w:val="none" w:sz="0" w:space="0" w:color="auto"/>
        <w:right w:val="none" w:sz="0" w:space="0" w:color="auto"/>
      </w:divBdr>
    </w:div>
    <w:div w:id="653920832">
      <w:bodyDiv w:val="1"/>
      <w:marLeft w:val="0"/>
      <w:marRight w:val="0"/>
      <w:marTop w:val="0"/>
      <w:marBottom w:val="0"/>
      <w:divBdr>
        <w:top w:val="none" w:sz="0" w:space="0" w:color="auto"/>
        <w:left w:val="none" w:sz="0" w:space="0" w:color="auto"/>
        <w:bottom w:val="none" w:sz="0" w:space="0" w:color="auto"/>
        <w:right w:val="none" w:sz="0" w:space="0" w:color="auto"/>
      </w:divBdr>
    </w:div>
    <w:div w:id="809708667">
      <w:bodyDiv w:val="1"/>
      <w:marLeft w:val="0"/>
      <w:marRight w:val="0"/>
      <w:marTop w:val="0"/>
      <w:marBottom w:val="0"/>
      <w:divBdr>
        <w:top w:val="none" w:sz="0" w:space="0" w:color="auto"/>
        <w:left w:val="none" w:sz="0" w:space="0" w:color="auto"/>
        <w:bottom w:val="none" w:sz="0" w:space="0" w:color="auto"/>
        <w:right w:val="none" w:sz="0" w:space="0" w:color="auto"/>
      </w:divBdr>
    </w:div>
    <w:div w:id="857235800">
      <w:bodyDiv w:val="1"/>
      <w:marLeft w:val="0"/>
      <w:marRight w:val="0"/>
      <w:marTop w:val="0"/>
      <w:marBottom w:val="0"/>
      <w:divBdr>
        <w:top w:val="none" w:sz="0" w:space="0" w:color="auto"/>
        <w:left w:val="none" w:sz="0" w:space="0" w:color="auto"/>
        <w:bottom w:val="none" w:sz="0" w:space="0" w:color="auto"/>
        <w:right w:val="none" w:sz="0" w:space="0" w:color="auto"/>
      </w:divBdr>
    </w:div>
    <w:div w:id="885457674">
      <w:bodyDiv w:val="1"/>
      <w:marLeft w:val="0"/>
      <w:marRight w:val="0"/>
      <w:marTop w:val="0"/>
      <w:marBottom w:val="0"/>
      <w:divBdr>
        <w:top w:val="none" w:sz="0" w:space="0" w:color="auto"/>
        <w:left w:val="none" w:sz="0" w:space="0" w:color="auto"/>
        <w:bottom w:val="none" w:sz="0" w:space="0" w:color="auto"/>
        <w:right w:val="none" w:sz="0" w:space="0" w:color="auto"/>
      </w:divBdr>
    </w:div>
    <w:div w:id="1045061098">
      <w:bodyDiv w:val="1"/>
      <w:marLeft w:val="0"/>
      <w:marRight w:val="0"/>
      <w:marTop w:val="0"/>
      <w:marBottom w:val="0"/>
      <w:divBdr>
        <w:top w:val="none" w:sz="0" w:space="0" w:color="auto"/>
        <w:left w:val="none" w:sz="0" w:space="0" w:color="auto"/>
        <w:bottom w:val="none" w:sz="0" w:space="0" w:color="auto"/>
        <w:right w:val="none" w:sz="0" w:space="0" w:color="auto"/>
      </w:divBdr>
    </w:div>
    <w:div w:id="1095589853">
      <w:bodyDiv w:val="1"/>
      <w:marLeft w:val="0"/>
      <w:marRight w:val="0"/>
      <w:marTop w:val="0"/>
      <w:marBottom w:val="0"/>
      <w:divBdr>
        <w:top w:val="none" w:sz="0" w:space="0" w:color="auto"/>
        <w:left w:val="none" w:sz="0" w:space="0" w:color="auto"/>
        <w:bottom w:val="none" w:sz="0" w:space="0" w:color="auto"/>
        <w:right w:val="none" w:sz="0" w:space="0" w:color="auto"/>
      </w:divBdr>
    </w:div>
    <w:div w:id="1098990976">
      <w:bodyDiv w:val="1"/>
      <w:marLeft w:val="0"/>
      <w:marRight w:val="0"/>
      <w:marTop w:val="0"/>
      <w:marBottom w:val="0"/>
      <w:divBdr>
        <w:top w:val="none" w:sz="0" w:space="0" w:color="auto"/>
        <w:left w:val="none" w:sz="0" w:space="0" w:color="auto"/>
        <w:bottom w:val="none" w:sz="0" w:space="0" w:color="auto"/>
        <w:right w:val="none" w:sz="0" w:space="0" w:color="auto"/>
      </w:divBdr>
    </w:div>
    <w:div w:id="1125126012">
      <w:bodyDiv w:val="1"/>
      <w:marLeft w:val="0"/>
      <w:marRight w:val="0"/>
      <w:marTop w:val="0"/>
      <w:marBottom w:val="0"/>
      <w:divBdr>
        <w:top w:val="none" w:sz="0" w:space="0" w:color="auto"/>
        <w:left w:val="none" w:sz="0" w:space="0" w:color="auto"/>
        <w:bottom w:val="none" w:sz="0" w:space="0" w:color="auto"/>
        <w:right w:val="none" w:sz="0" w:space="0" w:color="auto"/>
      </w:divBdr>
    </w:div>
    <w:div w:id="1147743710">
      <w:bodyDiv w:val="1"/>
      <w:marLeft w:val="0"/>
      <w:marRight w:val="0"/>
      <w:marTop w:val="0"/>
      <w:marBottom w:val="0"/>
      <w:divBdr>
        <w:top w:val="none" w:sz="0" w:space="0" w:color="auto"/>
        <w:left w:val="none" w:sz="0" w:space="0" w:color="auto"/>
        <w:bottom w:val="none" w:sz="0" w:space="0" w:color="auto"/>
        <w:right w:val="none" w:sz="0" w:space="0" w:color="auto"/>
      </w:divBdr>
    </w:div>
    <w:div w:id="1196650688">
      <w:bodyDiv w:val="1"/>
      <w:marLeft w:val="0"/>
      <w:marRight w:val="0"/>
      <w:marTop w:val="0"/>
      <w:marBottom w:val="0"/>
      <w:divBdr>
        <w:top w:val="none" w:sz="0" w:space="0" w:color="auto"/>
        <w:left w:val="none" w:sz="0" w:space="0" w:color="auto"/>
        <w:bottom w:val="none" w:sz="0" w:space="0" w:color="auto"/>
        <w:right w:val="none" w:sz="0" w:space="0" w:color="auto"/>
      </w:divBdr>
    </w:div>
    <w:div w:id="1208298948">
      <w:bodyDiv w:val="1"/>
      <w:marLeft w:val="0"/>
      <w:marRight w:val="0"/>
      <w:marTop w:val="0"/>
      <w:marBottom w:val="0"/>
      <w:divBdr>
        <w:top w:val="none" w:sz="0" w:space="0" w:color="auto"/>
        <w:left w:val="none" w:sz="0" w:space="0" w:color="auto"/>
        <w:bottom w:val="none" w:sz="0" w:space="0" w:color="auto"/>
        <w:right w:val="none" w:sz="0" w:space="0" w:color="auto"/>
      </w:divBdr>
    </w:div>
    <w:div w:id="1232353263">
      <w:bodyDiv w:val="1"/>
      <w:marLeft w:val="0"/>
      <w:marRight w:val="0"/>
      <w:marTop w:val="0"/>
      <w:marBottom w:val="0"/>
      <w:divBdr>
        <w:top w:val="none" w:sz="0" w:space="0" w:color="auto"/>
        <w:left w:val="none" w:sz="0" w:space="0" w:color="auto"/>
        <w:bottom w:val="none" w:sz="0" w:space="0" w:color="auto"/>
        <w:right w:val="none" w:sz="0" w:space="0" w:color="auto"/>
      </w:divBdr>
    </w:div>
    <w:div w:id="1285498324">
      <w:bodyDiv w:val="1"/>
      <w:marLeft w:val="0"/>
      <w:marRight w:val="0"/>
      <w:marTop w:val="0"/>
      <w:marBottom w:val="0"/>
      <w:divBdr>
        <w:top w:val="none" w:sz="0" w:space="0" w:color="auto"/>
        <w:left w:val="none" w:sz="0" w:space="0" w:color="auto"/>
        <w:bottom w:val="none" w:sz="0" w:space="0" w:color="auto"/>
        <w:right w:val="none" w:sz="0" w:space="0" w:color="auto"/>
      </w:divBdr>
    </w:div>
    <w:div w:id="1288127185">
      <w:bodyDiv w:val="1"/>
      <w:marLeft w:val="0"/>
      <w:marRight w:val="0"/>
      <w:marTop w:val="0"/>
      <w:marBottom w:val="0"/>
      <w:divBdr>
        <w:top w:val="none" w:sz="0" w:space="0" w:color="auto"/>
        <w:left w:val="none" w:sz="0" w:space="0" w:color="auto"/>
        <w:bottom w:val="none" w:sz="0" w:space="0" w:color="auto"/>
        <w:right w:val="none" w:sz="0" w:space="0" w:color="auto"/>
      </w:divBdr>
    </w:div>
    <w:div w:id="1300068817">
      <w:bodyDiv w:val="1"/>
      <w:marLeft w:val="0"/>
      <w:marRight w:val="0"/>
      <w:marTop w:val="0"/>
      <w:marBottom w:val="0"/>
      <w:divBdr>
        <w:top w:val="none" w:sz="0" w:space="0" w:color="auto"/>
        <w:left w:val="none" w:sz="0" w:space="0" w:color="auto"/>
        <w:bottom w:val="none" w:sz="0" w:space="0" w:color="auto"/>
        <w:right w:val="none" w:sz="0" w:space="0" w:color="auto"/>
      </w:divBdr>
    </w:div>
    <w:div w:id="1360156707">
      <w:bodyDiv w:val="1"/>
      <w:marLeft w:val="0"/>
      <w:marRight w:val="0"/>
      <w:marTop w:val="0"/>
      <w:marBottom w:val="0"/>
      <w:divBdr>
        <w:top w:val="none" w:sz="0" w:space="0" w:color="auto"/>
        <w:left w:val="none" w:sz="0" w:space="0" w:color="auto"/>
        <w:bottom w:val="none" w:sz="0" w:space="0" w:color="auto"/>
        <w:right w:val="none" w:sz="0" w:space="0" w:color="auto"/>
      </w:divBdr>
    </w:div>
    <w:div w:id="1418937094">
      <w:bodyDiv w:val="1"/>
      <w:marLeft w:val="0"/>
      <w:marRight w:val="0"/>
      <w:marTop w:val="0"/>
      <w:marBottom w:val="0"/>
      <w:divBdr>
        <w:top w:val="none" w:sz="0" w:space="0" w:color="auto"/>
        <w:left w:val="none" w:sz="0" w:space="0" w:color="auto"/>
        <w:bottom w:val="none" w:sz="0" w:space="0" w:color="auto"/>
        <w:right w:val="none" w:sz="0" w:space="0" w:color="auto"/>
      </w:divBdr>
    </w:div>
    <w:div w:id="1437946046">
      <w:bodyDiv w:val="1"/>
      <w:marLeft w:val="0"/>
      <w:marRight w:val="0"/>
      <w:marTop w:val="0"/>
      <w:marBottom w:val="0"/>
      <w:divBdr>
        <w:top w:val="none" w:sz="0" w:space="0" w:color="auto"/>
        <w:left w:val="none" w:sz="0" w:space="0" w:color="auto"/>
        <w:bottom w:val="none" w:sz="0" w:space="0" w:color="auto"/>
        <w:right w:val="none" w:sz="0" w:space="0" w:color="auto"/>
      </w:divBdr>
    </w:div>
    <w:div w:id="1552841397">
      <w:bodyDiv w:val="1"/>
      <w:marLeft w:val="0"/>
      <w:marRight w:val="0"/>
      <w:marTop w:val="0"/>
      <w:marBottom w:val="0"/>
      <w:divBdr>
        <w:top w:val="none" w:sz="0" w:space="0" w:color="auto"/>
        <w:left w:val="none" w:sz="0" w:space="0" w:color="auto"/>
        <w:bottom w:val="none" w:sz="0" w:space="0" w:color="auto"/>
        <w:right w:val="none" w:sz="0" w:space="0" w:color="auto"/>
      </w:divBdr>
    </w:div>
    <w:div w:id="1564682433">
      <w:bodyDiv w:val="1"/>
      <w:marLeft w:val="0"/>
      <w:marRight w:val="0"/>
      <w:marTop w:val="0"/>
      <w:marBottom w:val="0"/>
      <w:divBdr>
        <w:top w:val="none" w:sz="0" w:space="0" w:color="auto"/>
        <w:left w:val="none" w:sz="0" w:space="0" w:color="auto"/>
        <w:bottom w:val="none" w:sz="0" w:space="0" w:color="auto"/>
        <w:right w:val="none" w:sz="0" w:space="0" w:color="auto"/>
      </w:divBdr>
    </w:div>
    <w:div w:id="1592540906">
      <w:bodyDiv w:val="1"/>
      <w:marLeft w:val="0"/>
      <w:marRight w:val="0"/>
      <w:marTop w:val="0"/>
      <w:marBottom w:val="0"/>
      <w:divBdr>
        <w:top w:val="none" w:sz="0" w:space="0" w:color="auto"/>
        <w:left w:val="none" w:sz="0" w:space="0" w:color="auto"/>
        <w:bottom w:val="none" w:sz="0" w:space="0" w:color="auto"/>
        <w:right w:val="none" w:sz="0" w:space="0" w:color="auto"/>
      </w:divBdr>
    </w:div>
    <w:div w:id="1609577228">
      <w:bodyDiv w:val="1"/>
      <w:marLeft w:val="0"/>
      <w:marRight w:val="0"/>
      <w:marTop w:val="0"/>
      <w:marBottom w:val="0"/>
      <w:divBdr>
        <w:top w:val="none" w:sz="0" w:space="0" w:color="auto"/>
        <w:left w:val="none" w:sz="0" w:space="0" w:color="auto"/>
        <w:bottom w:val="none" w:sz="0" w:space="0" w:color="auto"/>
        <w:right w:val="none" w:sz="0" w:space="0" w:color="auto"/>
      </w:divBdr>
    </w:div>
    <w:div w:id="1642274415">
      <w:bodyDiv w:val="1"/>
      <w:marLeft w:val="0"/>
      <w:marRight w:val="0"/>
      <w:marTop w:val="0"/>
      <w:marBottom w:val="0"/>
      <w:divBdr>
        <w:top w:val="none" w:sz="0" w:space="0" w:color="auto"/>
        <w:left w:val="none" w:sz="0" w:space="0" w:color="auto"/>
        <w:bottom w:val="none" w:sz="0" w:space="0" w:color="auto"/>
        <w:right w:val="none" w:sz="0" w:space="0" w:color="auto"/>
      </w:divBdr>
    </w:div>
    <w:div w:id="1695691154">
      <w:bodyDiv w:val="1"/>
      <w:marLeft w:val="0"/>
      <w:marRight w:val="0"/>
      <w:marTop w:val="0"/>
      <w:marBottom w:val="0"/>
      <w:divBdr>
        <w:top w:val="none" w:sz="0" w:space="0" w:color="auto"/>
        <w:left w:val="none" w:sz="0" w:space="0" w:color="auto"/>
        <w:bottom w:val="none" w:sz="0" w:space="0" w:color="auto"/>
        <w:right w:val="none" w:sz="0" w:space="0" w:color="auto"/>
      </w:divBdr>
    </w:div>
    <w:div w:id="1922909711">
      <w:bodyDiv w:val="1"/>
      <w:marLeft w:val="0"/>
      <w:marRight w:val="0"/>
      <w:marTop w:val="0"/>
      <w:marBottom w:val="0"/>
      <w:divBdr>
        <w:top w:val="none" w:sz="0" w:space="0" w:color="auto"/>
        <w:left w:val="none" w:sz="0" w:space="0" w:color="auto"/>
        <w:bottom w:val="none" w:sz="0" w:space="0" w:color="auto"/>
        <w:right w:val="none" w:sz="0" w:space="0" w:color="auto"/>
      </w:divBdr>
    </w:div>
    <w:div w:id="1936328034">
      <w:bodyDiv w:val="1"/>
      <w:marLeft w:val="0"/>
      <w:marRight w:val="0"/>
      <w:marTop w:val="0"/>
      <w:marBottom w:val="0"/>
      <w:divBdr>
        <w:top w:val="none" w:sz="0" w:space="0" w:color="auto"/>
        <w:left w:val="none" w:sz="0" w:space="0" w:color="auto"/>
        <w:bottom w:val="none" w:sz="0" w:space="0" w:color="auto"/>
        <w:right w:val="none" w:sz="0" w:space="0" w:color="auto"/>
      </w:divBdr>
    </w:div>
    <w:div w:id="2022393443">
      <w:bodyDiv w:val="1"/>
      <w:marLeft w:val="0"/>
      <w:marRight w:val="0"/>
      <w:marTop w:val="0"/>
      <w:marBottom w:val="0"/>
      <w:divBdr>
        <w:top w:val="none" w:sz="0" w:space="0" w:color="auto"/>
        <w:left w:val="none" w:sz="0" w:space="0" w:color="auto"/>
        <w:bottom w:val="none" w:sz="0" w:space="0" w:color="auto"/>
        <w:right w:val="none" w:sz="0" w:space="0" w:color="auto"/>
      </w:divBdr>
    </w:div>
    <w:div w:id="2035616705">
      <w:bodyDiv w:val="1"/>
      <w:marLeft w:val="0"/>
      <w:marRight w:val="0"/>
      <w:marTop w:val="0"/>
      <w:marBottom w:val="0"/>
      <w:divBdr>
        <w:top w:val="none" w:sz="0" w:space="0" w:color="auto"/>
        <w:left w:val="none" w:sz="0" w:space="0" w:color="auto"/>
        <w:bottom w:val="none" w:sz="0" w:space="0" w:color="auto"/>
        <w:right w:val="none" w:sz="0" w:space="0" w:color="auto"/>
      </w:divBdr>
    </w:div>
    <w:div w:id="2038190715">
      <w:bodyDiv w:val="1"/>
      <w:marLeft w:val="0"/>
      <w:marRight w:val="0"/>
      <w:marTop w:val="0"/>
      <w:marBottom w:val="0"/>
      <w:divBdr>
        <w:top w:val="none" w:sz="0" w:space="0" w:color="auto"/>
        <w:left w:val="none" w:sz="0" w:space="0" w:color="auto"/>
        <w:bottom w:val="none" w:sz="0" w:space="0" w:color="auto"/>
        <w:right w:val="none" w:sz="0" w:space="0" w:color="auto"/>
      </w:divBdr>
    </w:div>
    <w:div w:id="2089958347">
      <w:bodyDiv w:val="1"/>
      <w:marLeft w:val="0"/>
      <w:marRight w:val="0"/>
      <w:marTop w:val="0"/>
      <w:marBottom w:val="0"/>
      <w:divBdr>
        <w:top w:val="none" w:sz="0" w:space="0" w:color="auto"/>
        <w:left w:val="none" w:sz="0" w:space="0" w:color="auto"/>
        <w:bottom w:val="none" w:sz="0" w:space="0" w:color="auto"/>
        <w:right w:val="none" w:sz="0" w:space="0" w:color="auto"/>
      </w:divBdr>
    </w:div>
    <w:div w:id="21292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3433C-A51D-4A75-BAB5-03B54F5F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7866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Ottobre 2014, n. 18                                                           Ufficio Studi Confcommercio - Imprese per l’Italia</vt:lpstr>
    </vt:vector>
  </TitlesOfParts>
  <Company>CONFCOMMERCIO</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Ottobre 2014, n. 18                                                           Ufficio Studi Confcommercio - Imprese per l’Italia</dc:title>
  <dc:creator>Stage08</dc:creator>
  <cp:lastModifiedBy>moretti</cp:lastModifiedBy>
  <cp:revision>2</cp:revision>
  <cp:lastPrinted>2014-10-09T08:44:00Z</cp:lastPrinted>
  <dcterms:created xsi:type="dcterms:W3CDTF">2014-11-07T10:37:00Z</dcterms:created>
  <dcterms:modified xsi:type="dcterms:W3CDTF">2014-11-07T10:37:00Z</dcterms:modified>
</cp:coreProperties>
</file>