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E9" w:rsidRPr="0061766F" w:rsidRDefault="00F322AC" w:rsidP="00F50828">
      <w:pPr>
        <w:spacing w:after="0"/>
        <w:rPr>
          <w:rFonts w:ascii="Arial" w:hAnsi="Arial" w:cs="Arial"/>
          <w:b/>
          <w:sz w:val="20"/>
          <w:szCs w:val="20"/>
        </w:rPr>
      </w:pPr>
      <w:r>
        <w:rPr>
          <w:rFonts w:ascii="Arial" w:hAnsi="Arial" w:cs="Arial"/>
          <w:b/>
          <w:sz w:val="20"/>
          <w:szCs w:val="20"/>
        </w:rPr>
        <w:t>31</w:t>
      </w:r>
      <w:r w:rsidR="00614FE9" w:rsidRPr="0061766F">
        <w:rPr>
          <w:rFonts w:ascii="Arial" w:hAnsi="Arial" w:cs="Arial"/>
          <w:b/>
          <w:sz w:val="20"/>
          <w:szCs w:val="20"/>
        </w:rPr>
        <w:t>.</w:t>
      </w:r>
      <w:r w:rsidR="0077087E">
        <w:rPr>
          <w:rFonts w:ascii="Arial" w:hAnsi="Arial" w:cs="Arial"/>
          <w:b/>
          <w:sz w:val="20"/>
          <w:szCs w:val="20"/>
        </w:rPr>
        <w:t>10</w:t>
      </w:r>
      <w:r w:rsidR="00614FE9" w:rsidRPr="0061766F">
        <w:rPr>
          <w:rFonts w:ascii="Arial" w:hAnsi="Arial" w:cs="Arial"/>
          <w:b/>
          <w:sz w:val="20"/>
          <w:szCs w:val="20"/>
        </w:rPr>
        <w:t>.2013</w:t>
      </w:r>
      <w:r w:rsidR="00614FE9" w:rsidRPr="0061766F">
        <w:rPr>
          <w:rFonts w:ascii="Arial" w:hAnsi="Arial" w:cs="Arial"/>
          <w:sz w:val="20"/>
          <w:szCs w:val="20"/>
        </w:rPr>
        <w:tab/>
      </w:r>
      <w:r w:rsidR="00614FE9" w:rsidRPr="0061766F">
        <w:rPr>
          <w:rFonts w:ascii="Arial" w:hAnsi="Arial" w:cs="Arial"/>
          <w:sz w:val="20"/>
          <w:szCs w:val="20"/>
        </w:rPr>
        <w:tab/>
      </w:r>
      <w:r w:rsidR="00614FE9" w:rsidRPr="0061766F">
        <w:rPr>
          <w:rFonts w:ascii="Arial" w:hAnsi="Arial" w:cs="Arial"/>
          <w:sz w:val="20"/>
          <w:szCs w:val="20"/>
        </w:rPr>
        <w:tab/>
      </w:r>
      <w:r w:rsidR="00614FE9" w:rsidRPr="0061766F">
        <w:rPr>
          <w:rFonts w:ascii="Arial" w:hAnsi="Arial" w:cs="Arial"/>
          <w:sz w:val="20"/>
          <w:szCs w:val="20"/>
        </w:rPr>
        <w:tab/>
      </w:r>
      <w:r w:rsidR="00614FE9" w:rsidRPr="0061766F">
        <w:rPr>
          <w:rFonts w:ascii="Arial" w:hAnsi="Arial" w:cs="Arial"/>
          <w:sz w:val="20"/>
          <w:szCs w:val="20"/>
        </w:rPr>
        <w:tab/>
      </w:r>
      <w:r w:rsidR="00614FE9" w:rsidRPr="0061766F">
        <w:rPr>
          <w:rFonts w:ascii="Arial" w:hAnsi="Arial" w:cs="Arial"/>
          <w:sz w:val="20"/>
          <w:szCs w:val="20"/>
        </w:rPr>
        <w:tab/>
      </w:r>
      <w:r w:rsidR="00614FE9" w:rsidRPr="0061766F">
        <w:rPr>
          <w:rFonts w:ascii="Arial" w:hAnsi="Arial" w:cs="Arial"/>
          <w:sz w:val="20"/>
          <w:szCs w:val="20"/>
        </w:rPr>
        <w:tab/>
        <w:t xml:space="preserve"> </w:t>
      </w:r>
      <w:r w:rsidR="00DB2FCE">
        <w:rPr>
          <w:rFonts w:ascii="Arial" w:hAnsi="Arial" w:cs="Arial"/>
          <w:sz w:val="20"/>
          <w:szCs w:val="20"/>
        </w:rPr>
        <w:t xml:space="preserve">         </w:t>
      </w:r>
      <w:r w:rsidR="00614FE9" w:rsidRPr="0061766F">
        <w:rPr>
          <w:rFonts w:ascii="Arial" w:hAnsi="Arial" w:cs="Arial"/>
          <w:sz w:val="20"/>
          <w:szCs w:val="20"/>
        </w:rPr>
        <w:t xml:space="preserve">          </w:t>
      </w:r>
      <w:r w:rsidR="009B1DCC">
        <w:rPr>
          <w:rFonts w:ascii="Arial" w:hAnsi="Arial" w:cs="Arial"/>
          <w:b/>
          <w:sz w:val="20"/>
          <w:szCs w:val="20"/>
        </w:rPr>
        <w:t xml:space="preserve">Prossima uscita: </w:t>
      </w:r>
      <w:r>
        <w:rPr>
          <w:rFonts w:ascii="Arial" w:hAnsi="Arial" w:cs="Arial"/>
          <w:b/>
          <w:sz w:val="20"/>
          <w:szCs w:val="20"/>
        </w:rPr>
        <w:t>29.11.</w:t>
      </w:r>
      <w:r w:rsidR="00614FE9" w:rsidRPr="0061766F">
        <w:rPr>
          <w:rFonts w:ascii="Arial" w:hAnsi="Arial" w:cs="Arial"/>
          <w:b/>
          <w:sz w:val="20"/>
          <w:szCs w:val="20"/>
        </w:rPr>
        <w:t>2013</w:t>
      </w:r>
    </w:p>
    <w:p w:rsidR="00F50828" w:rsidRDefault="00F50828" w:rsidP="00DB2FCE">
      <w:pPr>
        <w:spacing w:after="120"/>
        <w:jc w:val="center"/>
        <w:rPr>
          <w:rFonts w:ascii="Arial" w:hAnsi="Arial" w:cs="Arial"/>
          <w:b/>
          <w:sz w:val="28"/>
          <w:szCs w:val="28"/>
        </w:rPr>
      </w:pPr>
    </w:p>
    <w:p w:rsidR="00E64EF8" w:rsidRPr="00A1342C" w:rsidRDefault="00EF49AC" w:rsidP="00DB2FCE">
      <w:pPr>
        <w:spacing w:after="120"/>
        <w:jc w:val="center"/>
        <w:rPr>
          <w:rFonts w:ascii="Arial" w:hAnsi="Arial" w:cs="Arial"/>
          <w:b/>
          <w:sz w:val="28"/>
          <w:szCs w:val="28"/>
        </w:rPr>
      </w:pPr>
      <w:r w:rsidRPr="00A1342C">
        <w:rPr>
          <w:rFonts w:ascii="Arial" w:hAnsi="Arial" w:cs="Arial"/>
          <w:b/>
          <w:sz w:val="28"/>
          <w:szCs w:val="28"/>
        </w:rPr>
        <w:t xml:space="preserve">MIC - </w:t>
      </w:r>
      <w:proofErr w:type="spellStart"/>
      <w:r w:rsidR="00723FCE" w:rsidRPr="00A1342C">
        <w:rPr>
          <w:rFonts w:ascii="Arial" w:hAnsi="Arial" w:cs="Arial"/>
          <w:b/>
          <w:sz w:val="28"/>
          <w:szCs w:val="28"/>
        </w:rPr>
        <w:t>Misery</w:t>
      </w:r>
      <w:proofErr w:type="spellEnd"/>
      <w:r w:rsidR="00723FCE" w:rsidRPr="00A1342C">
        <w:rPr>
          <w:rFonts w:ascii="Arial" w:hAnsi="Arial" w:cs="Arial"/>
          <w:b/>
          <w:sz w:val="28"/>
          <w:szCs w:val="28"/>
        </w:rPr>
        <w:t xml:space="preserve"> Index </w:t>
      </w:r>
      <w:r w:rsidRPr="00A1342C">
        <w:rPr>
          <w:rFonts w:ascii="Arial" w:hAnsi="Arial" w:cs="Arial"/>
          <w:b/>
          <w:sz w:val="28"/>
          <w:szCs w:val="28"/>
        </w:rPr>
        <w:t>Confcommercio</w:t>
      </w:r>
      <w:r w:rsidR="00614FE9" w:rsidRPr="00A1342C">
        <w:rPr>
          <w:rFonts w:ascii="Arial" w:hAnsi="Arial" w:cs="Arial"/>
          <w:b/>
          <w:sz w:val="28"/>
          <w:szCs w:val="28"/>
        </w:rPr>
        <w:t xml:space="preserve"> </w:t>
      </w:r>
    </w:p>
    <w:p w:rsidR="00742E19" w:rsidRDefault="00F122B0" w:rsidP="00DB2FCE">
      <w:pPr>
        <w:spacing w:after="120"/>
        <w:jc w:val="center"/>
        <w:rPr>
          <w:rFonts w:ascii="Arial" w:hAnsi="Arial" w:cs="Arial"/>
          <w:b/>
          <w:i/>
          <w:sz w:val="24"/>
          <w:szCs w:val="24"/>
        </w:rPr>
      </w:pPr>
      <w:r>
        <w:rPr>
          <w:rFonts w:ascii="Arial" w:hAnsi="Arial" w:cs="Arial"/>
          <w:b/>
          <w:i/>
          <w:sz w:val="24"/>
          <w:szCs w:val="24"/>
        </w:rPr>
        <w:t>U</w:t>
      </w:r>
      <w:bookmarkStart w:id="0" w:name="_GoBack"/>
      <w:bookmarkEnd w:id="0"/>
      <w:r w:rsidR="00614FE9" w:rsidRPr="00A1342C">
        <w:rPr>
          <w:rFonts w:ascii="Arial" w:hAnsi="Arial" w:cs="Arial"/>
          <w:b/>
          <w:i/>
          <w:sz w:val="24"/>
          <w:szCs w:val="24"/>
        </w:rPr>
        <w:t>na valutazione macro</w:t>
      </w:r>
      <w:r w:rsidR="00742E19" w:rsidRPr="00A1342C">
        <w:rPr>
          <w:rFonts w:ascii="Arial" w:hAnsi="Arial" w:cs="Arial"/>
          <w:b/>
          <w:i/>
          <w:sz w:val="24"/>
          <w:szCs w:val="24"/>
        </w:rPr>
        <w:t>economica del disagio sociale</w:t>
      </w:r>
    </w:p>
    <w:p w:rsidR="00FE5103" w:rsidRDefault="00FE5103" w:rsidP="00DB2FCE">
      <w:pPr>
        <w:spacing w:after="120"/>
        <w:jc w:val="center"/>
        <w:rPr>
          <w:rFonts w:ascii="Arial" w:hAnsi="Arial" w:cs="Arial"/>
          <w:b/>
          <w:i/>
          <w:sz w:val="24"/>
          <w:szCs w:val="24"/>
        </w:rPr>
      </w:pPr>
    </w:p>
    <w:p w:rsidR="00FE5103" w:rsidRPr="00402750" w:rsidRDefault="00CC5526" w:rsidP="00FE5103">
      <w:pPr>
        <w:pStyle w:val="Paragrafoelenco"/>
        <w:numPr>
          <w:ilvl w:val="0"/>
          <w:numId w:val="10"/>
        </w:numPr>
        <w:spacing w:after="120"/>
        <w:jc w:val="both"/>
        <w:rPr>
          <w:rFonts w:ascii="Arial" w:hAnsi="Arial" w:cs="Arial"/>
          <w:b/>
          <w:sz w:val="24"/>
          <w:szCs w:val="24"/>
        </w:rPr>
      </w:pPr>
      <w:r>
        <w:rPr>
          <w:rFonts w:ascii="Arial" w:hAnsi="Arial" w:cs="Arial"/>
          <w:b/>
          <w:sz w:val="24"/>
          <w:szCs w:val="24"/>
        </w:rPr>
        <w:t xml:space="preserve">L’indice di </w:t>
      </w:r>
      <w:r w:rsidR="00FE5103" w:rsidRPr="00402750">
        <w:rPr>
          <w:rFonts w:ascii="Arial" w:hAnsi="Arial" w:cs="Arial"/>
          <w:b/>
          <w:sz w:val="24"/>
          <w:szCs w:val="24"/>
        </w:rPr>
        <w:t xml:space="preserve">disagio sociale </w:t>
      </w:r>
      <w:r w:rsidR="005F06F8" w:rsidRPr="00402750">
        <w:rPr>
          <w:rFonts w:ascii="Arial" w:hAnsi="Arial" w:cs="Arial"/>
          <w:b/>
          <w:sz w:val="24"/>
          <w:szCs w:val="24"/>
        </w:rPr>
        <w:t>scende da 21,3 punti</w:t>
      </w:r>
      <w:r w:rsidR="003236BD" w:rsidRPr="00402750">
        <w:rPr>
          <w:rFonts w:ascii="Arial" w:hAnsi="Arial" w:cs="Arial"/>
          <w:b/>
          <w:sz w:val="24"/>
          <w:szCs w:val="24"/>
        </w:rPr>
        <w:t xml:space="preserve"> </w:t>
      </w:r>
      <w:r w:rsidR="005F06F8" w:rsidRPr="00402750">
        <w:rPr>
          <w:rFonts w:ascii="Arial" w:hAnsi="Arial" w:cs="Arial"/>
          <w:b/>
          <w:sz w:val="24"/>
          <w:szCs w:val="24"/>
        </w:rPr>
        <w:t>di agosto</w:t>
      </w:r>
      <w:r w:rsidR="00FE5103" w:rsidRPr="00402750">
        <w:rPr>
          <w:rFonts w:ascii="Arial" w:hAnsi="Arial" w:cs="Arial"/>
          <w:b/>
          <w:sz w:val="24"/>
          <w:szCs w:val="24"/>
        </w:rPr>
        <w:t xml:space="preserve"> a 21,2 di </w:t>
      </w:r>
      <w:r w:rsidR="005F06F8" w:rsidRPr="00402750">
        <w:rPr>
          <w:rFonts w:ascii="Arial" w:hAnsi="Arial" w:cs="Arial"/>
          <w:b/>
          <w:sz w:val="24"/>
          <w:szCs w:val="24"/>
        </w:rPr>
        <w:t>settembre</w:t>
      </w:r>
    </w:p>
    <w:p w:rsidR="00FE5103" w:rsidRPr="00402750" w:rsidRDefault="00FE5103" w:rsidP="00FE5103">
      <w:pPr>
        <w:pStyle w:val="Paragrafoelenco"/>
        <w:numPr>
          <w:ilvl w:val="0"/>
          <w:numId w:val="10"/>
        </w:numPr>
        <w:spacing w:after="120"/>
        <w:jc w:val="both"/>
        <w:rPr>
          <w:rFonts w:ascii="Arial" w:hAnsi="Arial" w:cs="Arial"/>
          <w:b/>
          <w:sz w:val="24"/>
          <w:szCs w:val="24"/>
        </w:rPr>
      </w:pPr>
      <w:r w:rsidRPr="00402750">
        <w:rPr>
          <w:rFonts w:ascii="Arial" w:hAnsi="Arial" w:cs="Arial"/>
          <w:b/>
          <w:sz w:val="24"/>
          <w:szCs w:val="24"/>
        </w:rPr>
        <w:t xml:space="preserve">La disoccupazione estesa </w:t>
      </w:r>
      <w:r w:rsidR="005F06F8" w:rsidRPr="00402750">
        <w:rPr>
          <w:rFonts w:ascii="Arial" w:hAnsi="Arial" w:cs="Arial"/>
          <w:b/>
          <w:sz w:val="24"/>
          <w:szCs w:val="24"/>
        </w:rPr>
        <w:t>sale di 0,3 punti percentuali al 16,2</w:t>
      </w:r>
      <w:r w:rsidRPr="00402750">
        <w:rPr>
          <w:rFonts w:ascii="Arial" w:hAnsi="Arial" w:cs="Arial"/>
          <w:b/>
          <w:sz w:val="24"/>
          <w:szCs w:val="24"/>
        </w:rPr>
        <w:t>%</w:t>
      </w:r>
    </w:p>
    <w:p w:rsidR="00FE5103" w:rsidRPr="00FE5103" w:rsidRDefault="00FE5103" w:rsidP="00FE5103">
      <w:pPr>
        <w:pStyle w:val="Paragrafoelenco"/>
        <w:spacing w:after="120"/>
        <w:jc w:val="both"/>
        <w:rPr>
          <w:rFonts w:ascii="Arial" w:hAnsi="Arial" w:cs="Arial"/>
          <w:b/>
          <w:i/>
          <w:sz w:val="24"/>
          <w:szCs w:val="24"/>
        </w:rPr>
      </w:pPr>
    </w:p>
    <w:p w:rsidR="00FE5103" w:rsidRDefault="00FE5103" w:rsidP="00CA265C">
      <w:pPr>
        <w:autoSpaceDE w:val="0"/>
        <w:autoSpaceDN w:val="0"/>
        <w:adjustRightInd w:val="0"/>
        <w:spacing w:after="0" w:line="240" w:lineRule="auto"/>
        <w:ind w:firstLine="709"/>
        <w:jc w:val="both"/>
        <w:rPr>
          <w:rFonts w:ascii="Arial" w:hAnsi="Arial" w:cs="Arial"/>
          <w:sz w:val="24"/>
          <w:szCs w:val="24"/>
        </w:rPr>
      </w:pPr>
      <w:r w:rsidRPr="00402750">
        <w:rPr>
          <w:rFonts w:ascii="Arial" w:hAnsi="Arial" w:cs="Arial"/>
          <w:sz w:val="24"/>
          <w:szCs w:val="24"/>
        </w:rPr>
        <w:t xml:space="preserve">Il </w:t>
      </w:r>
      <w:r w:rsidRPr="00402750">
        <w:rPr>
          <w:rFonts w:ascii="Arial" w:hAnsi="Arial" w:cs="Arial"/>
          <w:b/>
          <w:color w:val="4F81BD" w:themeColor="accent1"/>
          <w:sz w:val="24"/>
          <w:szCs w:val="24"/>
        </w:rPr>
        <w:t>MIC</w:t>
      </w:r>
      <w:r w:rsidRPr="00402750">
        <w:rPr>
          <w:rStyle w:val="Rimandonotaapidipagina"/>
          <w:rFonts w:ascii="Arial" w:hAnsi="Arial" w:cs="Arial"/>
          <w:sz w:val="24"/>
          <w:szCs w:val="24"/>
        </w:rPr>
        <w:footnoteReference w:id="1"/>
      </w:r>
      <w:r w:rsidRPr="00402750">
        <w:rPr>
          <w:rFonts w:ascii="Arial" w:hAnsi="Arial" w:cs="Arial"/>
          <w:sz w:val="24"/>
          <w:szCs w:val="24"/>
        </w:rPr>
        <w:t xml:space="preserve"> di </w:t>
      </w:r>
      <w:r w:rsidR="00C906D0" w:rsidRPr="00402750">
        <w:rPr>
          <w:rFonts w:ascii="Arial" w:hAnsi="Arial" w:cs="Arial"/>
          <w:sz w:val="24"/>
          <w:szCs w:val="24"/>
        </w:rPr>
        <w:t>settembre</w:t>
      </w:r>
      <w:r w:rsidRPr="00402750">
        <w:rPr>
          <w:rFonts w:ascii="Arial" w:hAnsi="Arial" w:cs="Arial"/>
          <w:sz w:val="24"/>
          <w:szCs w:val="24"/>
        </w:rPr>
        <w:t xml:space="preserve"> </w:t>
      </w:r>
      <w:r w:rsidR="00C906D0" w:rsidRPr="00402750">
        <w:rPr>
          <w:rFonts w:ascii="Arial" w:hAnsi="Arial" w:cs="Arial"/>
          <w:sz w:val="24"/>
          <w:szCs w:val="24"/>
        </w:rPr>
        <w:t>scende</w:t>
      </w:r>
      <w:r w:rsidR="003236BD" w:rsidRPr="00402750">
        <w:rPr>
          <w:rFonts w:ascii="Arial" w:hAnsi="Arial" w:cs="Arial"/>
          <w:sz w:val="24"/>
          <w:szCs w:val="24"/>
        </w:rPr>
        <w:t xml:space="preserve"> di 0,1 punti </w:t>
      </w:r>
      <w:r w:rsidRPr="00402750">
        <w:rPr>
          <w:rFonts w:ascii="Arial" w:hAnsi="Arial" w:cs="Arial"/>
          <w:sz w:val="24"/>
          <w:szCs w:val="24"/>
        </w:rPr>
        <w:t>ad un valore stimato di 21,2</w:t>
      </w:r>
      <w:r w:rsidR="00CC5526">
        <w:rPr>
          <w:rFonts w:ascii="Arial" w:hAnsi="Arial" w:cs="Arial"/>
          <w:sz w:val="24"/>
          <w:szCs w:val="24"/>
        </w:rPr>
        <w:t xml:space="preserve"> </w:t>
      </w:r>
      <w:r w:rsidR="00CC5526" w:rsidRPr="00402750">
        <w:rPr>
          <w:rFonts w:ascii="Arial" w:hAnsi="Arial" w:cs="Arial"/>
          <w:sz w:val="24"/>
          <w:szCs w:val="24"/>
        </w:rPr>
        <w:t>(</w:t>
      </w:r>
      <w:proofErr w:type="spellStart"/>
      <w:r w:rsidR="00CC5526" w:rsidRPr="00402750">
        <w:rPr>
          <w:rFonts w:ascii="Arial" w:hAnsi="Arial" w:cs="Arial"/>
          <w:sz w:val="24"/>
          <w:szCs w:val="24"/>
        </w:rPr>
        <w:t>tab</w:t>
      </w:r>
      <w:proofErr w:type="spellEnd"/>
      <w:r w:rsidR="00CC5526" w:rsidRPr="00402750">
        <w:rPr>
          <w:rFonts w:ascii="Arial" w:hAnsi="Arial" w:cs="Arial"/>
          <w:sz w:val="24"/>
          <w:szCs w:val="24"/>
        </w:rPr>
        <w:t>. 1)</w:t>
      </w:r>
      <w:r w:rsidRPr="00402750">
        <w:rPr>
          <w:rFonts w:ascii="Arial" w:hAnsi="Arial" w:cs="Arial"/>
          <w:sz w:val="24"/>
          <w:szCs w:val="24"/>
        </w:rPr>
        <w:t xml:space="preserve">. </w:t>
      </w:r>
      <w:r w:rsidR="00C906D0" w:rsidRPr="00402750">
        <w:rPr>
          <w:rFonts w:ascii="Arial" w:hAnsi="Arial" w:cs="Arial"/>
          <w:sz w:val="24"/>
          <w:szCs w:val="24"/>
        </w:rPr>
        <w:t>A questo andamento ha contribuito esclusivamente il netto rallent</w:t>
      </w:r>
      <w:r w:rsidR="00405182" w:rsidRPr="00402750">
        <w:rPr>
          <w:rFonts w:ascii="Arial" w:hAnsi="Arial" w:cs="Arial"/>
          <w:sz w:val="24"/>
          <w:szCs w:val="24"/>
        </w:rPr>
        <w:t xml:space="preserve">amento, </w:t>
      </w:r>
      <w:r w:rsidR="004C2032" w:rsidRPr="00402750">
        <w:rPr>
          <w:rFonts w:ascii="Arial" w:hAnsi="Arial" w:cs="Arial"/>
          <w:sz w:val="24"/>
          <w:szCs w:val="24"/>
        </w:rPr>
        <w:t>registrato</w:t>
      </w:r>
      <w:r w:rsidR="00405182" w:rsidRPr="00402750">
        <w:rPr>
          <w:rFonts w:ascii="Arial" w:hAnsi="Arial" w:cs="Arial"/>
          <w:sz w:val="24"/>
          <w:szCs w:val="24"/>
        </w:rPr>
        <w:t xml:space="preserve"> a settembre, da</w:t>
      </w:r>
      <w:r w:rsidR="00C906D0" w:rsidRPr="00402750">
        <w:rPr>
          <w:rFonts w:ascii="Arial" w:hAnsi="Arial" w:cs="Arial"/>
          <w:sz w:val="24"/>
          <w:szCs w:val="24"/>
        </w:rPr>
        <w:t>ll’inflazione relativa ai beni e servizi ad alta frequenza d’acquisto (dall’1,7% all’1,0%) che ha più che compensato l’aumento rilevato sul versante della disoccupazione estesa (dal 15,9% al 16,2%)</w:t>
      </w:r>
      <w:r w:rsidRPr="00402750">
        <w:rPr>
          <w:rFonts w:ascii="Arial" w:hAnsi="Arial" w:cs="Arial"/>
          <w:sz w:val="24"/>
          <w:szCs w:val="24"/>
        </w:rPr>
        <w:t>.</w:t>
      </w:r>
    </w:p>
    <w:p w:rsidR="00C906D0" w:rsidRDefault="00C906D0" w:rsidP="00CA265C">
      <w:pPr>
        <w:autoSpaceDE w:val="0"/>
        <w:autoSpaceDN w:val="0"/>
        <w:adjustRightInd w:val="0"/>
        <w:spacing w:after="0" w:line="240" w:lineRule="auto"/>
        <w:ind w:firstLine="709"/>
        <w:jc w:val="both"/>
        <w:rPr>
          <w:rFonts w:ascii="Arial" w:hAnsi="Arial" w:cs="Arial"/>
          <w:sz w:val="24"/>
          <w:szCs w:val="24"/>
        </w:rPr>
      </w:pPr>
    </w:p>
    <w:tbl>
      <w:tblPr>
        <w:tblW w:w="8560" w:type="dxa"/>
        <w:jc w:val="center"/>
        <w:tblInd w:w="55" w:type="dxa"/>
        <w:tblCellMar>
          <w:left w:w="70" w:type="dxa"/>
          <w:right w:w="70" w:type="dxa"/>
        </w:tblCellMar>
        <w:tblLook w:val="04A0" w:firstRow="1" w:lastRow="0" w:firstColumn="1" w:lastColumn="0" w:noHBand="0" w:noVBand="1"/>
      </w:tblPr>
      <w:tblGrid>
        <w:gridCol w:w="1840"/>
        <w:gridCol w:w="1680"/>
        <w:gridCol w:w="1680"/>
        <w:gridCol w:w="1680"/>
        <w:gridCol w:w="1680"/>
      </w:tblGrid>
      <w:tr w:rsidR="00C906D0" w:rsidRPr="002F7928" w:rsidTr="00FF5565">
        <w:trPr>
          <w:trHeight w:val="315"/>
          <w:jc w:val="center"/>
        </w:trPr>
        <w:tc>
          <w:tcPr>
            <w:tcW w:w="8560" w:type="dxa"/>
            <w:gridSpan w:val="5"/>
            <w:tcBorders>
              <w:top w:val="nil"/>
              <w:left w:val="nil"/>
              <w:bottom w:val="double" w:sz="6" w:space="0" w:color="auto"/>
              <w:right w:val="nil"/>
            </w:tcBorders>
            <w:shd w:val="clear" w:color="auto" w:fill="auto"/>
            <w:noWrap/>
            <w:vAlign w:val="center"/>
            <w:hideMark/>
          </w:tcPr>
          <w:p w:rsidR="00C906D0" w:rsidRPr="002F7928" w:rsidRDefault="00C906D0" w:rsidP="00FF5565">
            <w:pPr>
              <w:spacing w:after="0" w:line="240" w:lineRule="auto"/>
              <w:jc w:val="center"/>
              <w:rPr>
                <w:rFonts w:ascii="Arial" w:eastAsia="Times New Roman" w:hAnsi="Arial" w:cs="Arial"/>
                <w:b/>
                <w:bCs/>
                <w:color w:val="000000"/>
                <w:sz w:val="20"/>
                <w:szCs w:val="20"/>
                <w:lang w:eastAsia="it-IT"/>
              </w:rPr>
            </w:pPr>
            <w:r w:rsidRPr="002F7928">
              <w:rPr>
                <w:rFonts w:ascii="Arial" w:eastAsia="Times New Roman" w:hAnsi="Arial" w:cs="Arial"/>
                <w:b/>
                <w:bCs/>
                <w:color w:val="000000"/>
                <w:sz w:val="20"/>
                <w:szCs w:val="20"/>
                <w:lang w:eastAsia="it-IT"/>
              </w:rPr>
              <w:t xml:space="preserve">Tabella 1: Prezzi, disoccupazione e </w:t>
            </w:r>
            <w:proofErr w:type="spellStart"/>
            <w:r w:rsidRPr="002F7928">
              <w:rPr>
                <w:rFonts w:ascii="Arial" w:eastAsia="Times New Roman" w:hAnsi="Arial" w:cs="Arial"/>
                <w:b/>
                <w:bCs/>
                <w:color w:val="000000"/>
                <w:sz w:val="20"/>
                <w:szCs w:val="20"/>
                <w:lang w:eastAsia="it-IT"/>
              </w:rPr>
              <w:t>Misery</w:t>
            </w:r>
            <w:proofErr w:type="spellEnd"/>
            <w:r w:rsidRPr="002F7928">
              <w:rPr>
                <w:rFonts w:ascii="Arial" w:eastAsia="Times New Roman" w:hAnsi="Arial" w:cs="Arial"/>
                <w:b/>
                <w:bCs/>
                <w:color w:val="000000"/>
                <w:sz w:val="20"/>
                <w:szCs w:val="20"/>
                <w:lang w:eastAsia="it-IT"/>
              </w:rPr>
              <w:t xml:space="preserve"> Index Confcommercio (MIC) in Italia</w:t>
            </w:r>
          </w:p>
        </w:tc>
      </w:tr>
      <w:tr w:rsidR="00C906D0" w:rsidRPr="002F7928" w:rsidTr="00FF5565">
        <w:trPr>
          <w:trHeight w:val="705"/>
          <w:jc w:val="center"/>
        </w:trPr>
        <w:tc>
          <w:tcPr>
            <w:tcW w:w="1840" w:type="dxa"/>
            <w:tcBorders>
              <w:top w:val="nil"/>
              <w:left w:val="nil"/>
              <w:bottom w:val="single" w:sz="8" w:space="0" w:color="auto"/>
              <w:right w:val="nil"/>
            </w:tcBorders>
            <w:shd w:val="clear" w:color="auto" w:fill="auto"/>
            <w:vAlign w:val="center"/>
            <w:hideMark/>
          </w:tcPr>
          <w:p w:rsidR="00C906D0" w:rsidRPr="002F7928" w:rsidRDefault="00C906D0" w:rsidP="00FF5565">
            <w:pPr>
              <w:spacing w:after="0" w:line="240" w:lineRule="auto"/>
              <w:rPr>
                <w:rFonts w:ascii="Arial" w:eastAsia="Times New Roman" w:hAnsi="Arial" w:cs="Arial"/>
                <w:b/>
                <w:bCs/>
                <w:color w:val="000000"/>
                <w:sz w:val="16"/>
                <w:szCs w:val="16"/>
                <w:lang w:eastAsia="it-IT"/>
              </w:rPr>
            </w:pPr>
            <w:r w:rsidRPr="002F7928">
              <w:rPr>
                <w:rFonts w:ascii="Arial" w:eastAsia="Times New Roman" w:hAnsi="Arial" w:cs="Arial"/>
                <w:b/>
                <w:bCs/>
                <w:color w:val="000000"/>
                <w:sz w:val="16"/>
                <w:szCs w:val="16"/>
                <w:lang w:eastAsia="it-IT"/>
              </w:rPr>
              <w:t>anno</w:t>
            </w:r>
          </w:p>
        </w:tc>
        <w:tc>
          <w:tcPr>
            <w:tcW w:w="1680" w:type="dxa"/>
            <w:tcBorders>
              <w:top w:val="nil"/>
              <w:left w:val="nil"/>
              <w:bottom w:val="single" w:sz="8" w:space="0" w:color="auto"/>
              <w:right w:val="nil"/>
            </w:tcBorders>
            <w:shd w:val="clear" w:color="auto" w:fill="auto"/>
            <w:vAlign w:val="center"/>
            <w:hideMark/>
          </w:tcPr>
          <w:p w:rsidR="00C906D0" w:rsidRPr="002F7928" w:rsidRDefault="00C906D0" w:rsidP="00FF5565">
            <w:pPr>
              <w:spacing w:after="0" w:line="240" w:lineRule="auto"/>
              <w:jc w:val="center"/>
              <w:rPr>
                <w:rFonts w:ascii="Arial" w:eastAsia="Times New Roman" w:hAnsi="Arial" w:cs="Arial"/>
                <w:b/>
                <w:bCs/>
                <w:color w:val="000000"/>
                <w:sz w:val="16"/>
                <w:szCs w:val="16"/>
                <w:lang w:eastAsia="it-IT"/>
              </w:rPr>
            </w:pPr>
            <w:r w:rsidRPr="002F7928">
              <w:rPr>
                <w:rFonts w:ascii="Arial" w:eastAsia="Times New Roman" w:hAnsi="Arial" w:cs="Arial"/>
                <w:b/>
                <w:bCs/>
                <w:color w:val="000000"/>
                <w:sz w:val="16"/>
                <w:szCs w:val="16"/>
                <w:lang w:eastAsia="it-IT"/>
              </w:rPr>
              <w:t>disoccupazione ufficiale (%)</w:t>
            </w:r>
          </w:p>
        </w:tc>
        <w:tc>
          <w:tcPr>
            <w:tcW w:w="1680" w:type="dxa"/>
            <w:tcBorders>
              <w:top w:val="nil"/>
              <w:left w:val="nil"/>
              <w:bottom w:val="single" w:sz="8" w:space="0" w:color="auto"/>
              <w:right w:val="nil"/>
            </w:tcBorders>
            <w:shd w:val="clear" w:color="auto" w:fill="auto"/>
            <w:vAlign w:val="center"/>
            <w:hideMark/>
          </w:tcPr>
          <w:p w:rsidR="00C906D0" w:rsidRPr="002F7928" w:rsidRDefault="00C906D0" w:rsidP="00FF5565">
            <w:pPr>
              <w:spacing w:after="0" w:line="240" w:lineRule="auto"/>
              <w:jc w:val="center"/>
              <w:rPr>
                <w:rFonts w:ascii="Arial" w:eastAsia="Times New Roman" w:hAnsi="Arial" w:cs="Arial"/>
                <w:b/>
                <w:bCs/>
                <w:color w:val="000000"/>
                <w:sz w:val="16"/>
                <w:szCs w:val="16"/>
                <w:lang w:eastAsia="it-IT"/>
              </w:rPr>
            </w:pPr>
            <w:r w:rsidRPr="002F7928">
              <w:rPr>
                <w:rFonts w:ascii="Arial" w:eastAsia="Times New Roman" w:hAnsi="Arial" w:cs="Arial"/>
                <w:b/>
                <w:bCs/>
                <w:color w:val="000000"/>
                <w:sz w:val="16"/>
                <w:szCs w:val="16"/>
                <w:lang w:eastAsia="it-IT"/>
              </w:rPr>
              <w:t>disoccupazione estesa (%) *</w:t>
            </w:r>
          </w:p>
        </w:tc>
        <w:tc>
          <w:tcPr>
            <w:tcW w:w="1680" w:type="dxa"/>
            <w:tcBorders>
              <w:top w:val="nil"/>
              <w:left w:val="nil"/>
              <w:bottom w:val="single" w:sz="8" w:space="0" w:color="auto"/>
              <w:right w:val="nil"/>
            </w:tcBorders>
            <w:shd w:val="clear" w:color="auto" w:fill="auto"/>
            <w:vAlign w:val="center"/>
            <w:hideMark/>
          </w:tcPr>
          <w:p w:rsidR="00C906D0" w:rsidRPr="002F7928" w:rsidRDefault="00C906D0" w:rsidP="00FF5565">
            <w:pPr>
              <w:spacing w:after="0" w:line="240" w:lineRule="auto"/>
              <w:jc w:val="center"/>
              <w:rPr>
                <w:rFonts w:ascii="Arial" w:eastAsia="Times New Roman" w:hAnsi="Arial" w:cs="Arial"/>
                <w:b/>
                <w:bCs/>
                <w:color w:val="000000"/>
                <w:sz w:val="16"/>
                <w:szCs w:val="16"/>
                <w:lang w:eastAsia="it-IT"/>
              </w:rPr>
            </w:pPr>
            <w:r w:rsidRPr="002F7928">
              <w:rPr>
                <w:rFonts w:ascii="Arial" w:eastAsia="Times New Roman" w:hAnsi="Arial" w:cs="Arial"/>
                <w:b/>
                <w:bCs/>
                <w:color w:val="000000"/>
                <w:sz w:val="16"/>
                <w:szCs w:val="16"/>
                <w:lang w:eastAsia="it-IT"/>
              </w:rPr>
              <w:t>Δ% prezzi-alta frequenza di acquisto</w:t>
            </w:r>
          </w:p>
        </w:tc>
        <w:tc>
          <w:tcPr>
            <w:tcW w:w="1680" w:type="dxa"/>
            <w:tcBorders>
              <w:top w:val="nil"/>
              <w:left w:val="nil"/>
              <w:bottom w:val="single" w:sz="8" w:space="0" w:color="auto"/>
              <w:right w:val="nil"/>
            </w:tcBorders>
            <w:shd w:val="clear" w:color="auto" w:fill="auto"/>
            <w:vAlign w:val="center"/>
            <w:hideMark/>
          </w:tcPr>
          <w:p w:rsidR="00C906D0" w:rsidRPr="002F7928" w:rsidRDefault="00C906D0" w:rsidP="00FF5565">
            <w:pPr>
              <w:spacing w:after="0" w:line="240" w:lineRule="auto"/>
              <w:jc w:val="center"/>
              <w:rPr>
                <w:rFonts w:ascii="Arial" w:eastAsia="Times New Roman" w:hAnsi="Arial" w:cs="Arial"/>
                <w:b/>
                <w:bCs/>
                <w:color w:val="000000"/>
                <w:sz w:val="16"/>
                <w:szCs w:val="16"/>
                <w:lang w:eastAsia="it-IT"/>
              </w:rPr>
            </w:pPr>
            <w:r w:rsidRPr="002F7928">
              <w:rPr>
                <w:rFonts w:ascii="Arial" w:eastAsia="Times New Roman" w:hAnsi="Arial" w:cs="Arial"/>
                <w:b/>
                <w:bCs/>
                <w:color w:val="000000"/>
                <w:sz w:val="16"/>
                <w:szCs w:val="16"/>
                <w:lang w:eastAsia="it-IT"/>
              </w:rPr>
              <w:t>MIC*</w:t>
            </w:r>
          </w:p>
        </w:tc>
      </w:tr>
      <w:tr w:rsidR="00C906D0" w:rsidRPr="00804C20" w:rsidTr="00FF5565">
        <w:trPr>
          <w:trHeight w:val="210"/>
          <w:jc w:val="center"/>
        </w:trPr>
        <w:tc>
          <w:tcPr>
            <w:tcW w:w="184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2007</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6,1</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7,8</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2,9</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12,0</w:t>
            </w:r>
          </w:p>
        </w:tc>
      </w:tr>
      <w:tr w:rsidR="00C906D0" w:rsidRPr="00804C20" w:rsidTr="00FF5565">
        <w:trPr>
          <w:trHeight w:val="210"/>
          <w:jc w:val="center"/>
        </w:trPr>
        <w:tc>
          <w:tcPr>
            <w:tcW w:w="184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2008</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6,8</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8,7</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4,9</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14,6</w:t>
            </w:r>
          </w:p>
        </w:tc>
      </w:tr>
      <w:tr w:rsidR="00C906D0" w:rsidRPr="00804C20" w:rsidTr="00FF5565">
        <w:trPr>
          <w:trHeight w:val="210"/>
          <w:jc w:val="center"/>
        </w:trPr>
        <w:tc>
          <w:tcPr>
            <w:tcW w:w="184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2009</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7,8</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10,7</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0,8</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14,1</w:t>
            </w:r>
          </w:p>
        </w:tc>
      </w:tr>
      <w:tr w:rsidR="00C906D0" w:rsidRPr="00804C20" w:rsidTr="00FF5565">
        <w:trPr>
          <w:trHeight w:val="210"/>
          <w:jc w:val="center"/>
        </w:trPr>
        <w:tc>
          <w:tcPr>
            <w:tcW w:w="184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2010</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8,4</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11,6</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2,0</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16,2</w:t>
            </w:r>
          </w:p>
        </w:tc>
      </w:tr>
      <w:tr w:rsidR="00C906D0" w:rsidRPr="00804C20" w:rsidTr="00FF5565">
        <w:trPr>
          <w:trHeight w:val="210"/>
          <w:jc w:val="center"/>
        </w:trPr>
        <w:tc>
          <w:tcPr>
            <w:tcW w:w="184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2011</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8,4</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11,5</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3,6</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17,2</w:t>
            </w:r>
          </w:p>
        </w:tc>
      </w:tr>
      <w:tr w:rsidR="00C906D0" w:rsidRPr="00804C20" w:rsidTr="00FF5565">
        <w:trPr>
          <w:trHeight w:val="210"/>
          <w:jc w:val="center"/>
        </w:trPr>
        <w:tc>
          <w:tcPr>
            <w:tcW w:w="184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2012-I trim.</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9,9</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13,2</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4,4</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20,0</w:t>
            </w:r>
          </w:p>
        </w:tc>
      </w:tr>
      <w:tr w:rsidR="00C906D0" w:rsidRPr="00804C20" w:rsidTr="00FF5565">
        <w:trPr>
          <w:trHeight w:val="210"/>
          <w:jc w:val="center"/>
        </w:trPr>
        <w:tc>
          <w:tcPr>
            <w:tcW w:w="184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2012-II trim.</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10,6</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13,9</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4,4</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20,9</w:t>
            </w:r>
          </w:p>
        </w:tc>
      </w:tr>
      <w:tr w:rsidR="00C906D0" w:rsidRPr="00804C20" w:rsidTr="00FF5565">
        <w:trPr>
          <w:trHeight w:val="210"/>
          <w:jc w:val="center"/>
        </w:trPr>
        <w:tc>
          <w:tcPr>
            <w:tcW w:w="184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2012-III trim.</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10,8</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14,2</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4,3</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21,1</w:t>
            </w:r>
          </w:p>
        </w:tc>
      </w:tr>
      <w:tr w:rsidR="00C906D0" w:rsidRPr="00804C20" w:rsidTr="00FF5565">
        <w:trPr>
          <w:trHeight w:val="210"/>
          <w:jc w:val="center"/>
        </w:trPr>
        <w:tc>
          <w:tcPr>
            <w:tcW w:w="184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2012-IV trim.</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11,4</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14,6</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3,5</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21,0</w:t>
            </w:r>
          </w:p>
        </w:tc>
      </w:tr>
      <w:tr w:rsidR="00C906D0" w:rsidRPr="00804C20" w:rsidTr="00FF5565">
        <w:trPr>
          <w:trHeight w:val="210"/>
          <w:jc w:val="center"/>
        </w:trPr>
        <w:tc>
          <w:tcPr>
            <w:tcW w:w="184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2013-I trim.</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11,9</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15,0</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2,4</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20,7</w:t>
            </w:r>
          </w:p>
        </w:tc>
      </w:tr>
      <w:tr w:rsidR="00C906D0" w:rsidRPr="00804C20" w:rsidTr="00FF5565">
        <w:trPr>
          <w:trHeight w:val="210"/>
          <w:jc w:val="center"/>
        </w:trPr>
        <w:tc>
          <w:tcPr>
            <w:tcW w:w="184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2013-Aprile</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12,0</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15,5</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1,5</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20,7</w:t>
            </w:r>
          </w:p>
        </w:tc>
      </w:tr>
      <w:tr w:rsidR="00C906D0" w:rsidRPr="00804C20" w:rsidTr="00FF5565">
        <w:trPr>
          <w:trHeight w:val="210"/>
          <w:jc w:val="center"/>
        </w:trPr>
        <w:tc>
          <w:tcPr>
            <w:tcW w:w="184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2013-Maggio</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12,2</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15,5</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1,5</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20,7</w:t>
            </w:r>
          </w:p>
        </w:tc>
      </w:tr>
      <w:tr w:rsidR="00C906D0" w:rsidRPr="00804C20" w:rsidTr="00FF5565">
        <w:trPr>
          <w:trHeight w:val="210"/>
          <w:jc w:val="center"/>
        </w:trPr>
        <w:tc>
          <w:tcPr>
            <w:tcW w:w="184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2013-Giugno</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12,1</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15,5</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1,7</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20,9</w:t>
            </w:r>
          </w:p>
        </w:tc>
      </w:tr>
      <w:tr w:rsidR="00C906D0" w:rsidRPr="00804C20" w:rsidTr="00FF5565">
        <w:trPr>
          <w:trHeight w:val="210"/>
          <w:jc w:val="center"/>
        </w:trPr>
        <w:tc>
          <w:tcPr>
            <w:tcW w:w="184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2013-Luglio</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12,1</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15,6</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2,0</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21,2</w:t>
            </w:r>
          </w:p>
        </w:tc>
      </w:tr>
      <w:tr w:rsidR="00C906D0" w:rsidRPr="00804C20" w:rsidTr="00FF5565">
        <w:trPr>
          <w:trHeight w:val="210"/>
          <w:jc w:val="center"/>
        </w:trPr>
        <w:tc>
          <w:tcPr>
            <w:tcW w:w="184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2013-Agosto</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12,4</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15,9</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1,7</w:t>
            </w:r>
          </w:p>
        </w:tc>
        <w:tc>
          <w:tcPr>
            <w:tcW w:w="1680" w:type="dxa"/>
            <w:tcBorders>
              <w:top w:val="nil"/>
              <w:left w:val="nil"/>
              <w:bottom w:val="nil"/>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21,3</w:t>
            </w:r>
          </w:p>
        </w:tc>
      </w:tr>
      <w:tr w:rsidR="00C906D0" w:rsidRPr="00804C20" w:rsidTr="00FF5565">
        <w:trPr>
          <w:trHeight w:val="210"/>
          <w:jc w:val="center"/>
        </w:trPr>
        <w:tc>
          <w:tcPr>
            <w:tcW w:w="1840" w:type="dxa"/>
            <w:tcBorders>
              <w:top w:val="nil"/>
              <w:left w:val="nil"/>
              <w:bottom w:val="double" w:sz="6" w:space="0" w:color="auto"/>
              <w:right w:val="nil"/>
            </w:tcBorders>
            <w:shd w:val="clear" w:color="auto" w:fill="auto"/>
            <w:noWrap/>
            <w:vAlign w:val="center"/>
            <w:hideMark/>
          </w:tcPr>
          <w:p w:rsidR="00C906D0" w:rsidRPr="00804C20" w:rsidRDefault="00C906D0" w:rsidP="00FF5565">
            <w:pPr>
              <w:spacing w:after="0" w:line="240" w:lineRule="auto"/>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2013-Settembre</w:t>
            </w:r>
          </w:p>
        </w:tc>
        <w:tc>
          <w:tcPr>
            <w:tcW w:w="1680" w:type="dxa"/>
            <w:tcBorders>
              <w:top w:val="nil"/>
              <w:left w:val="nil"/>
              <w:bottom w:val="double" w:sz="6" w:space="0" w:color="auto"/>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12,5</w:t>
            </w:r>
          </w:p>
        </w:tc>
        <w:tc>
          <w:tcPr>
            <w:tcW w:w="1680" w:type="dxa"/>
            <w:tcBorders>
              <w:top w:val="nil"/>
              <w:left w:val="nil"/>
              <w:bottom w:val="double" w:sz="6" w:space="0" w:color="auto"/>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16,2</w:t>
            </w:r>
          </w:p>
        </w:tc>
        <w:tc>
          <w:tcPr>
            <w:tcW w:w="1680" w:type="dxa"/>
            <w:tcBorders>
              <w:top w:val="nil"/>
              <w:left w:val="nil"/>
              <w:bottom w:val="double" w:sz="6" w:space="0" w:color="auto"/>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1,0</w:t>
            </w:r>
          </w:p>
        </w:tc>
        <w:tc>
          <w:tcPr>
            <w:tcW w:w="1680" w:type="dxa"/>
            <w:tcBorders>
              <w:top w:val="nil"/>
              <w:left w:val="nil"/>
              <w:bottom w:val="double" w:sz="6" w:space="0" w:color="auto"/>
              <w:right w:val="nil"/>
            </w:tcBorders>
            <w:shd w:val="clear" w:color="auto" w:fill="auto"/>
            <w:noWrap/>
            <w:vAlign w:val="center"/>
            <w:hideMark/>
          </w:tcPr>
          <w:p w:rsidR="00C906D0" w:rsidRPr="00804C20" w:rsidRDefault="00C906D0" w:rsidP="00FF5565">
            <w:pPr>
              <w:spacing w:after="0" w:line="240" w:lineRule="auto"/>
              <w:jc w:val="center"/>
              <w:rPr>
                <w:rFonts w:ascii="Arial" w:eastAsia="Times New Roman" w:hAnsi="Arial" w:cs="Arial"/>
                <w:color w:val="000000"/>
                <w:sz w:val="16"/>
                <w:szCs w:val="16"/>
                <w:lang w:eastAsia="it-IT"/>
              </w:rPr>
            </w:pPr>
            <w:r w:rsidRPr="00804C20">
              <w:rPr>
                <w:rFonts w:ascii="Arial" w:eastAsia="Times New Roman" w:hAnsi="Arial" w:cs="Arial"/>
                <w:color w:val="000000"/>
                <w:sz w:val="16"/>
                <w:szCs w:val="16"/>
                <w:lang w:eastAsia="it-IT"/>
              </w:rPr>
              <w:t>21,2</w:t>
            </w:r>
          </w:p>
        </w:tc>
      </w:tr>
    </w:tbl>
    <w:p w:rsidR="00C906D0" w:rsidRPr="00A1342C" w:rsidRDefault="00C906D0" w:rsidP="00C906D0">
      <w:pPr>
        <w:spacing w:after="0"/>
        <w:ind w:left="567" w:right="566"/>
        <w:jc w:val="both"/>
        <w:rPr>
          <w:rFonts w:ascii="Arial" w:hAnsi="Arial" w:cs="Arial"/>
          <w:i/>
          <w:sz w:val="16"/>
          <w:szCs w:val="16"/>
        </w:rPr>
      </w:pPr>
      <w:r w:rsidRPr="00A1342C">
        <w:rPr>
          <w:rFonts w:ascii="Arial" w:hAnsi="Arial" w:cs="Arial"/>
          <w:sz w:val="16"/>
          <w:szCs w:val="16"/>
        </w:rPr>
        <w:t>Elaborazioni Ufficio Studi Confcommercio-Imprese per l’Italia su dati ISTAT ed INPS.</w:t>
      </w:r>
    </w:p>
    <w:p w:rsidR="00C906D0" w:rsidRPr="00A1342C" w:rsidRDefault="00C906D0" w:rsidP="00C906D0">
      <w:pPr>
        <w:spacing w:after="0"/>
        <w:ind w:left="567" w:right="566"/>
        <w:jc w:val="both"/>
        <w:rPr>
          <w:rFonts w:ascii="Arial" w:hAnsi="Arial" w:cs="Arial"/>
          <w:sz w:val="16"/>
          <w:szCs w:val="16"/>
        </w:rPr>
      </w:pPr>
      <w:r w:rsidRPr="00A1342C">
        <w:rPr>
          <w:rFonts w:ascii="Arial" w:hAnsi="Arial" w:cs="Arial"/>
          <w:sz w:val="16"/>
          <w:szCs w:val="16"/>
        </w:rPr>
        <w:t xml:space="preserve">Legenda: per le definizioni si veda la nota tecnica. * I dati degli ultimi </w:t>
      </w:r>
      <w:r>
        <w:rPr>
          <w:rFonts w:ascii="Arial" w:hAnsi="Arial" w:cs="Arial"/>
          <w:sz w:val="16"/>
          <w:szCs w:val="16"/>
        </w:rPr>
        <w:t>due</w:t>
      </w:r>
      <w:r w:rsidRPr="00A1342C">
        <w:rPr>
          <w:rFonts w:ascii="Arial" w:hAnsi="Arial" w:cs="Arial"/>
          <w:sz w:val="16"/>
          <w:szCs w:val="16"/>
        </w:rPr>
        <w:t xml:space="preserve"> mesi sono frutto di stime (cfr. la nota tecnica a pag. 3).</w:t>
      </w:r>
    </w:p>
    <w:p w:rsidR="00C906D0" w:rsidRDefault="00C906D0" w:rsidP="00CA265C">
      <w:pPr>
        <w:autoSpaceDE w:val="0"/>
        <w:autoSpaceDN w:val="0"/>
        <w:adjustRightInd w:val="0"/>
        <w:spacing w:after="0" w:line="240" w:lineRule="auto"/>
        <w:ind w:firstLine="709"/>
        <w:jc w:val="both"/>
        <w:rPr>
          <w:rFonts w:ascii="Arial" w:hAnsi="Arial" w:cs="Arial"/>
          <w:color w:val="000000"/>
          <w:sz w:val="24"/>
          <w:szCs w:val="24"/>
        </w:rPr>
      </w:pPr>
    </w:p>
    <w:p w:rsidR="002C5B50" w:rsidRPr="00402750" w:rsidRDefault="00FE5103" w:rsidP="00CA265C">
      <w:pPr>
        <w:autoSpaceDE w:val="0"/>
        <w:autoSpaceDN w:val="0"/>
        <w:adjustRightInd w:val="0"/>
        <w:spacing w:after="0" w:line="240" w:lineRule="auto"/>
        <w:ind w:firstLine="709"/>
        <w:jc w:val="both"/>
        <w:rPr>
          <w:rFonts w:ascii="Arial" w:hAnsi="Arial" w:cs="Arial"/>
          <w:color w:val="000000"/>
          <w:sz w:val="24"/>
          <w:szCs w:val="24"/>
        </w:rPr>
      </w:pPr>
      <w:r w:rsidRPr="00402750">
        <w:rPr>
          <w:rFonts w:ascii="Arial" w:hAnsi="Arial" w:cs="Arial"/>
          <w:color w:val="000000"/>
          <w:sz w:val="24"/>
          <w:szCs w:val="24"/>
        </w:rPr>
        <w:t xml:space="preserve">Nel mese di </w:t>
      </w:r>
      <w:r w:rsidR="00B316A5" w:rsidRPr="00402750">
        <w:rPr>
          <w:rFonts w:ascii="Arial" w:hAnsi="Arial" w:cs="Arial"/>
          <w:color w:val="000000"/>
          <w:sz w:val="24"/>
          <w:szCs w:val="24"/>
        </w:rPr>
        <w:t>settembre</w:t>
      </w:r>
      <w:r w:rsidRPr="00402750">
        <w:rPr>
          <w:rFonts w:ascii="Arial" w:hAnsi="Arial" w:cs="Arial"/>
          <w:color w:val="000000"/>
          <w:sz w:val="24"/>
          <w:szCs w:val="24"/>
        </w:rPr>
        <w:t xml:space="preserve"> 2013 </w:t>
      </w:r>
      <w:r w:rsidR="00F01FE3" w:rsidRPr="00402750">
        <w:rPr>
          <w:rFonts w:ascii="Arial" w:hAnsi="Arial" w:cs="Arial"/>
          <w:color w:val="000000"/>
          <w:sz w:val="24"/>
          <w:szCs w:val="24"/>
        </w:rPr>
        <w:t xml:space="preserve">il tasso di disoccupazione ufficiale </w:t>
      </w:r>
      <w:r w:rsidR="00F518A9" w:rsidRPr="00402750">
        <w:rPr>
          <w:rFonts w:ascii="Arial" w:hAnsi="Arial" w:cs="Arial"/>
          <w:color w:val="000000"/>
          <w:sz w:val="24"/>
          <w:szCs w:val="24"/>
        </w:rPr>
        <w:t xml:space="preserve">è </w:t>
      </w:r>
      <w:r w:rsidR="00B316A5" w:rsidRPr="00402750">
        <w:rPr>
          <w:rFonts w:ascii="Arial" w:hAnsi="Arial" w:cs="Arial"/>
          <w:color w:val="000000"/>
          <w:sz w:val="24"/>
          <w:szCs w:val="24"/>
        </w:rPr>
        <w:t>salito al 12,5% (valore massimo dall’inizio delle serie mensili)</w:t>
      </w:r>
      <w:r w:rsidR="00DB6DCD" w:rsidRPr="00402750">
        <w:rPr>
          <w:rFonts w:ascii="Arial" w:hAnsi="Arial" w:cs="Arial"/>
          <w:color w:val="000000"/>
          <w:sz w:val="24"/>
          <w:szCs w:val="24"/>
        </w:rPr>
        <w:t>, con un incremento dello 0,1%</w:t>
      </w:r>
      <w:r w:rsidR="00405182" w:rsidRPr="00402750">
        <w:rPr>
          <w:rFonts w:ascii="Arial" w:hAnsi="Arial" w:cs="Arial"/>
          <w:color w:val="000000"/>
          <w:sz w:val="24"/>
          <w:szCs w:val="24"/>
        </w:rPr>
        <w:t xml:space="preserve"> (+29mila</w:t>
      </w:r>
      <w:r w:rsidR="00055AF7" w:rsidRPr="00402750">
        <w:rPr>
          <w:rFonts w:ascii="Arial" w:hAnsi="Arial" w:cs="Arial"/>
          <w:color w:val="000000"/>
          <w:sz w:val="24"/>
          <w:szCs w:val="24"/>
        </w:rPr>
        <w:t xml:space="preserve"> disoccupati</w:t>
      </w:r>
      <w:r w:rsidR="00554044" w:rsidRPr="00402750">
        <w:rPr>
          <w:rFonts w:ascii="Arial" w:hAnsi="Arial" w:cs="Arial"/>
          <w:color w:val="000000"/>
          <w:sz w:val="24"/>
          <w:szCs w:val="24"/>
        </w:rPr>
        <w:t xml:space="preserve">) </w:t>
      </w:r>
      <w:r w:rsidR="000411EC" w:rsidRPr="00402750">
        <w:rPr>
          <w:rFonts w:ascii="Arial" w:hAnsi="Arial" w:cs="Arial"/>
          <w:color w:val="000000"/>
          <w:sz w:val="24"/>
          <w:szCs w:val="24"/>
        </w:rPr>
        <w:t>rispet</w:t>
      </w:r>
      <w:r w:rsidR="00405182" w:rsidRPr="00402750">
        <w:rPr>
          <w:rFonts w:ascii="Arial" w:hAnsi="Arial" w:cs="Arial"/>
          <w:color w:val="000000"/>
          <w:sz w:val="24"/>
          <w:szCs w:val="24"/>
        </w:rPr>
        <w:t>to al mese precedente e dell’1,6</w:t>
      </w:r>
      <w:r w:rsidR="000411EC" w:rsidRPr="00402750">
        <w:rPr>
          <w:rFonts w:ascii="Arial" w:hAnsi="Arial" w:cs="Arial"/>
          <w:color w:val="000000"/>
          <w:sz w:val="24"/>
          <w:szCs w:val="24"/>
        </w:rPr>
        <w:t>% rispetto a dodici mesi fa</w:t>
      </w:r>
      <w:r w:rsidR="00402750" w:rsidRPr="00402750">
        <w:rPr>
          <w:rFonts w:ascii="Arial" w:hAnsi="Arial" w:cs="Arial"/>
          <w:color w:val="000000"/>
          <w:sz w:val="24"/>
          <w:szCs w:val="24"/>
        </w:rPr>
        <w:t xml:space="preserve"> (+391mila persone</w:t>
      </w:r>
      <w:r w:rsidR="00CC5526">
        <w:rPr>
          <w:rFonts w:ascii="Arial" w:hAnsi="Arial" w:cs="Arial"/>
          <w:color w:val="000000"/>
          <w:sz w:val="24"/>
          <w:szCs w:val="24"/>
        </w:rPr>
        <w:t>)</w:t>
      </w:r>
      <w:r w:rsidR="000411EC" w:rsidRPr="00402750">
        <w:rPr>
          <w:rFonts w:ascii="Arial" w:hAnsi="Arial" w:cs="Arial"/>
          <w:color w:val="000000"/>
          <w:sz w:val="24"/>
          <w:szCs w:val="24"/>
        </w:rPr>
        <w:t>.</w:t>
      </w:r>
      <w:r w:rsidR="00DB6DCD" w:rsidRPr="00402750">
        <w:rPr>
          <w:rFonts w:ascii="Arial" w:hAnsi="Arial" w:cs="Arial"/>
          <w:color w:val="000000"/>
          <w:sz w:val="24"/>
          <w:szCs w:val="24"/>
        </w:rPr>
        <w:t xml:space="preserve"> </w:t>
      </w:r>
      <w:r w:rsidR="00554044" w:rsidRPr="00402750">
        <w:rPr>
          <w:rFonts w:ascii="Arial" w:hAnsi="Arial" w:cs="Arial"/>
          <w:color w:val="000000"/>
          <w:sz w:val="24"/>
          <w:szCs w:val="24"/>
        </w:rPr>
        <w:t xml:space="preserve">I disoccupati </w:t>
      </w:r>
      <w:r w:rsidR="00405182" w:rsidRPr="00402750">
        <w:rPr>
          <w:rFonts w:ascii="Arial" w:hAnsi="Arial" w:cs="Arial"/>
          <w:color w:val="000000"/>
          <w:sz w:val="24"/>
          <w:szCs w:val="24"/>
        </w:rPr>
        <w:t>si avvicinano a 3,2</w:t>
      </w:r>
      <w:r w:rsidR="00554044" w:rsidRPr="00402750">
        <w:rPr>
          <w:rFonts w:ascii="Arial" w:hAnsi="Arial" w:cs="Arial"/>
          <w:color w:val="000000"/>
          <w:sz w:val="24"/>
          <w:szCs w:val="24"/>
        </w:rPr>
        <w:t xml:space="preserve"> milioni</w:t>
      </w:r>
      <w:r w:rsidR="00661B78" w:rsidRPr="00402750">
        <w:rPr>
          <w:rFonts w:ascii="Arial" w:hAnsi="Arial" w:cs="Arial"/>
          <w:color w:val="000000"/>
          <w:sz w:val="24"/>
          <w:szCs w:val="24"/>
        </w:rPr>
        <w:t xml:space="preserve"> di unità</w:t>
      </w:r>
      <w:r w:rsidR="00554044" w:rsidRPr="00402750">
        <w:rPr>
          <w:rFonts w:ascii="Arial" w:hAnsi="Arial" w:cs="Arial"/>
          <w:color w:val="000000"/>
          <w:sz w:val="24"/>
          <w:szCs w:val="24"/>
        </w:rPr>
        <w:t xml:space="preserve">. </w:t>
      </w:r>
      <w:r w:rsidR="00F518A9" w:rsidRPr="00402750">
        <w:rPr>
          <w:rFonts w:ascii="Arial" w:hAnsi="Arial" w:cs="Arial"/>
          <w:color w:val="000000"/>
          <w:sz w:val="24"/>
          <w:szCs w:val="24"/>
        </w:rPr>
        <w:t xml:space="preserve">Il numero di occupati è </w:t>
      </w:r>
      <w:r w:rsidR="00405182" w:rsidRPr="00402750">
        <w:rPr>
          <w:rFonts w:ascii="Arial" w:hAnsi="Arial" w:cs="Arial"/>
          <w:color w:val="000000"/>
          <w:sz w:val="24"/>
          <w:szCs w:val="24"/>
        </w:rPr>
        <w:t>diminuito di 80mila unità</w:t>
      </w:r>
      <w:r w:rsidR="00F518A9" w:rsidRPr="00402750">
        <w:rPr>
          <w:rFonts w:ascii="Arial" w:hAnsi="Arial" w:cs="Arial"/>
          <w:color w:val="000000"/>
          <w:sz w:val="24"/>
          <w:szCs w:val="24"/>
        </w:rPr>
        <w:t xml:space="preserve"> rispetto </w:t>
      </w:r>
      <w:r w:rsidR="009C2EFE" w:rsidRPr="00402750">
        <w:rPr>
          <w:rFonts w:ascii="Arial" w:hAnsi="Arial" w:cs="Arial"/>
          <w:color w:val="000000"/>
          <w:sz w:val="24"/>
          <w:szCs w:val="24"/>
        </w:rPr>
        <w:t>a</w:t>
      </w:r>
      <w:r w:rsidR="00405182" w:rsidRPr="00402750">
        <w:rPr>
          <w:rFonts w:ascii="Arial" w:hAnsi="Arial" w:cs="Arial"/>
          <w:color w:val="000000"/>
          <w:sz w:val="24"/>
          <w:szCs w:val="24"/>
        </w:rPr>
        <w:t>d agosto</w:t>
      </w:r>
      <w:r w:rsidR="004C2032" w:rsidRPr="00402750">
        <w:rPr>
          <w:rFonts w:ascii="Arial" w:hAnsi="Arial" w:cs="Arial"/>
          <w:color w:val="000000"/>
          <w:sz w:val="24"/>
          <w:szCs w:val="24"/>
        </w:rPr>
        <w:t xml:space="preserve"> (-490mila su base annua)</w:t>
      </w:r>
      <w:r w:rsidR="00F518A9" w:rsidRPr="00402750">
        <w:rPr>
          <w:rFonts w:ascii="Arial" w:hAnsi="Arial" w:cs="Arial"/>
          <w:color w:val="000000"/>
          <w:sz w:val="24"/>
          <w:szCs w:val="24"/>
        </w:rPr>
        <w:t xml:space="preserve">. </w:t>
      </w:r>
    </w:p>
    <w:p w:rsidR="00C75D8B" w:rsidRPr="00402750" w:rsidRDefault="009A0FEA" w:rsidP="00CA265C">
      <w:pPr>
        <w:autoSpaceDE w:val="0"/>
        <w:autoSpaceDN w:val="0"/>
        <w:adjustRightInd w:val="0"/>
        <w:spacing w:after="0" w:line="240" w:lineRule="auto"/>
        <w:ind w:firstLine="709"/>
        <w:jc w:val="both"/>
        <w:rPr>
          <w:rFonts w:ascii="Arial" w:hAnsi="Arial" w:cs="Arial"/>
          <w:sz w:val="24"/>
        </w:rPr>
      </w:pPr>
      <w:r w:rsidRPr="00402750">
        <w:rPr>
          <w:rFonts w:ascii="Arial" w:hAnsi="Arial" w:cs="Arial"/>
          <w:sz w:val="24"/>
        </w:rPr>
        <w:t xml:space="preserve">Nel mese di </w:t>
      </w:r>
      <w:r w:rsidR="00824D96" w:rsidRPr="00402750">
        <w:rPr>
          <w:rFonts w:ascii="Arial" w:hAnsi="Arial" w:cs="Arial"/>
          <w:sz w:val="24"/>
        </w:rPr>
        <w:t>settembre</w:t>
      </w:r>
      <w:r w:rsidRPr="00402750">
        <w:rPr>
          <w:rFonts w:ascii="Arial" w:hAnsi="Arial" w:cs="Arial"/>
          <w:sz w:val="24"/>
        </w:rPr>
        <w:t xml:space="preserve"> sono state autorizzate</w:t>
      </w:r>
      <w:r w:rsidR="003F6F68" w:rsidRPr="00402750">
        <w:rPr>
          <w:rFonts w:ascii="Arial" w:hAnsi="Arial" w:cs="Arial"/>
          <w:sz w:val="24"/>
        </w:rPr>
        <w:t xml:space="preserve"> </w:t>
      </w:r>
      <w:r w:rsidR="004C2032" w:rsidRPr="00402750">
        <w:rPr>
          <w:rFonts w:ascii="Arial" w:hAnsi="Arial" w:cs="Arial"/>
          <w:sz w:val="24"/>
        </w:rPr>
        <w:t>85</w:t>
      </w:r>
      <w:r w:rsidR="00824D96" w:rsidRPr="00402750">
        <w:rPr>
          <w:rFonts w:ascii="Arial" w:hAnsi="Arial" w:cs="Arial"/>
          <w:sz w:val="24"/>
        </w:rPr>
        <w:t>,2</w:t>
      </w:r>
      <w:r w:rsidR="00AE0CFF" w:rsidRPr="00402750">
        <w:rPr>
          <w:rFonts w:ascii="Arial" w:hAnsi="Arial" w:cs="Arial"/>
          <w:sz w:val="24"/>
        </w:rPr>
        <w:t xml:space="preserve"> </w:t>
      </w:r>
      <w:r w:rsidR="002B3E90" w:rsidRPr="00402750">
        <w:rPr>
          <w:rFonts w:ascii="Arial" w:hAnsi="Arial" w:cs="Arial"/>
          <w:sz w:val="24"/>
        </w:rPr>
        <w:t>milioni di</w:t>
      </w:r>
      <w:r w:rsidRPr="00402750">
        <w:rPr>
          <w:rFonts w:ascii="Arial" w:hAnsi="Arial" w:cs="Arial"/>
          <w:sz w:val="24"/>
        </w:rPr>
        <w:t xml:space="preserve"> or</w:t>
      </w:r>
      <w:r w:rsidR="00664AA0" w:rsidRPr="00402750">
        <w:rPr>
          <w:rFonts w:ascii="Arial" w:hAnsi="Arial" w:cs="Arial"/>
          <w:sz w:val="24"/>
        </w:rPr>
        <w:t xml:space="preserve">e di CIG, </w:t>
      </w:r>
      <w:r w:rsidR="00C45350" w:rsidRPr="00402750">
        <w:rPr>
          <w:rFonts w:ascii="Arial" w:hAnsi="Arial" w:cs="Arial"/>
          <w:sz w:val="24"/>
        </w:rPr>
        <w:t xml:space="preserve">in </w:t>
      </w:r>
      <w:r w:rsidR="00824D96" w:rsidRPr="00402750">
        <w:rPr>
          <w:rFonts w:ascii="Arial" w:hAnsi="Arial" w:cs="Arial"/>
          <w:sz w:val="24"/>
        </w:rPr>
        <w:t>a</w:t>
      </w:r>
      <w:r w:rsidR="004C2032" w:rsidRPr="00402750">
        <w:rPr>
          <w:rFonts w:ascii="Arial" w:hAnsi="Arial" w:cs="Arial"/>
          <w:sz w:val="24"/>
        </w:rPr>
        <w:t>umento rispetto ad agosto, invertendo al tendenza al ridimensionamento dei mesi estivi.</w:t>
      </w:r>
      <w:r w:rsidR="00CA265C" w:rsidRPr="00402750">
        <w:rPr>
          <w:rFonts w:ascii="Arial" w:hAnsi="Arial" w:cs="Arial"/>
          <w:sz w:val="24"/>
        </w:rPr>
        <w:t xml:space="preserve"> </w:t>
      </w:r>
      <w:r w:rsidR="00AE0CFF" w:rsidRPr="00402750">
        <w:rPr>
          <w:rFonts w:ascii="Arial" w:hAnsi="Arial" w:cs="Arial"/>
          <w:sz w:val="24"/>
        </w:rPr>
        <w:t xml:space="preserve">Nel mese di </w:t>
      </w:r>
      <w:r w:rsidR="004C2032" w:rsidRPr="00402750">
        <w:rPr>
          <w:rFonts w:ascii="Arial" w:hAnsi="Arial" w:cs="Arial"/>
          <w:sz w:val="24"/>
        </w:rPr>
        <w:t>luglio</w:t>
      </w:r>
      <w:r w:rsidR="00AE0CFF" w:rsidRPr="00402750">
        <w:rPr>
          <w:rFonts w:ascii="Arial" w:hAnsi="Arial" w:cs="Arial"/>
          <w:sz w:val="24"/>
        </w:rPr>
        <w:t xml:space="preserve"> l</w:t>
      </w:r>
      <w:r w:rsidR="003F6F68" w:rsidRPr="00402750">
        <w:rPr>
          <w:rFonts w:ascii="Arial" w:hAnsi="Arial" w:cs="Arial"/>
          <w:sz w:val="24"/>
        </w:rPr>
        <w:t>a percentuale di tiraggio</w:t>
      </w:r>
      <w:r w:rsidR="00197A70" w:rsidRPr="00402750">
        <w:rPr>
          <w:rFonts w:ascii="Arial" w:hAnsi="Arial" w:cs="Arial"/>
          <w:sz w:val="24"/>
        </w:rPr>
        <w:t xml:space="preserve">, ovvero le </w:t>
      </w:r>
      <w:r w:rsidR="003F6F68" w:rsidRPr="00402750">
        <w:rPr>
          <w:rFonts w:ascii="Arial" w:hAnsi="Arial" w:cs="Arial"/>
          <w:sz w:val="24"/>
        </w:rPr>
        <w:t>ore effettivamente utilizzate</w:t>
      </w:r>
      <w:r w:rsidR="00197A70" w:rsidRPr="00402750">
        <w:rPr>
          <w:rFonts w:ascii="Arial" w:hAnsi="Arial" w:cs="Arial"/>
          <w:sz w:val="24"/>
        </w:rPr>
        <w:t>,</w:t>
      </w:r>
      <w:r w:rsidR="003F6F68" w:rsidRPr="00402750">
        <w:rPr>
          <w:rFonts w:ascii="Arial" w:hAnsi="Arial" w:cs="Arial"/>
          <w:sz w:val="24"/>
        </w:rPr>
        <w:t xml:space="preserve"> </w:t>
      </w:r>
      <w:r w:rsidR="004C2032" w:rsidRPr="00402750">
        <w:rPr>
          <w:rFonts w:ascii="Arial" w:hAnsi="Arial" w:cs="Arial"/>
          <w:sz w:val="24"/>
        </w:rPr>
        <w:t xml:space="preserve">e aumentata </w:t>
      </w:r>
      <w:r w:rsidR="00AE0CFF" w:rsidRPr="00402750">
        <w:rPr>
          <w:rFonts w:ascii="Arial" w:hAnsi="Arial" w:cs="Arial"/>
          <w:sz w:val="24"/>
        </w:rPr>
        <w:t xml:space="preserve">rispetto a </w:t>
      </w:r>
      <w:r w:rsidR="004C2032" w:rsidRPr="00402750">
        <w:rPr>
          <w:rFonts w:ascii="Arial" w:hAnsi="Arial" w:cs="Arial"/>
          <w:sz w:val="24"/>
        </w:rPr>
        <w:t>giugno. Il dato è sintesi di una diminuzione per la CIG ordinaria (dal 58% al 56</w:t>
      </w:r>
      <w:r w:rsidR="00AE0CFF" w:rsidRPr="00402750">
        <w:rPr>
          <w:rFonts w:ascii="Arial" w:hAnsi="Arial" w:cs="Arial"/>
          <w:sz w:val="24"/>
        </w:rPr>
        <w:t>%</w:t>
      </w:r>
      <w:r w:rsidR="004C2032" w:rsidRPr="00402750">
        <w:rPr>
          <w:rFonts w:ascii="Arial" w:hAnsi="Arial" w:cs="Arial"/>
          <w:sz w:val="24"/>
        </w:rPr>
        <w:t>)</w:t>
      </w:r>
      <w:r w:rsidR="000D15D2" w:rsidRPr="00402750">
        <w:rPr>
          <w:rFonts w:ascii="Arial" w:hAnsi="Arial" w:cs="Arial"/>
          <w:sz w:val="24"/>
        </w:rPr>
        <w:t xml:space="preserve"> </w:t>
      </w:r>
      <w:r w:rsidR="004C2032" w:rsidRPr="00402750">
        <w:rPr>
          <w:rFonts w:ascii="Arial" w:hAnsi="Arial" w:cs="Arial"/>
          <w:sz w:val="24"/>
        </w:rPr>
        <w:t>e di un aumento per quella straordinaria e in deroga (dal 55% al 61%)</w:t>
      </w:r>
      <w:r w:rsidR="003F6F68" w:rsidRPr="00402750">
        <w:rPr>
          <w:rFonts w:ascii="Arial" w:hAnsi="Arial" w:cs="Arial"/>
          <w:sz w:val="24"/>
        </w:rPr>
        <w:t xml:space="preserve">. </w:t>
      </w:r>
    </w:p>
    <w:p w:rsidR="009A0FEA" w:rsidRPr="00402750" w:rsidRDefault="00055AF7" w:rsidP="00055AF7">
      <w:pPr>
        <w:autoSpaceDE w:val="0"/>
        <w:autoSpaceDN w:val="0"/>
        <w:adjustRightInd w:val="0"/>
        <w:spacing w:after="0" w:line="240" w:lineRule="auto"/>
        <w:ind w:firstLine="709"/>
        <w:jc w:val="both"/>
        <w:rPr>
          <w:rFonts w:ascii="Arial" w:hAnsi="Arial" w:cs="Arial"/>
          <w:sz w:val="24"/>
        </w:rPr>
      </w:pPr>
      <w:r w:rsidRPr="00402750">
        <w:rPr>
          <w:rFonts w:ascii="Arial" w:hAnsi="Arial" w:cs="Arial"/>
          <w:sz w:val="24"/>
        </w:rPr>
        <w:lastRenderedPageBreak/>
        <w:t xml:space="preserve">Le ore di CIG utilizzate </w:t>
      </w:r>
      <w:r w:rsidRPr="00402750">
        <w:rPr>
          <w:rFonts w:ascii="Arial" w:hAnsi="Arial" w:cs="Arial"/>
          <w:sz w:val="24"/>
          <w:szCs w:val="24"/>
        </w:rPr>
        <w:t>–</w:t>
      </w:r>
      <w:r w:rsidRPr="00402750">
        <w:rPr>
          <w:rFonts w:ascii="Arial" w:hAnsi="Arial" w:cs="Arial"/>
          <w:sz w:val="24"/>
        </w:rPr>
        <w:t xml:space="preserve"> </w:t>
      </w:r>
      <w:r w:rsidRPr="00402750">
        <w:rPr>
          <w:rFonts w:ascii="Arial" w:hAnsi="Arial" w:cs="Arial"/>
          <w:sz w:val="24"/>
          <w:szCs w:val="24"/>
        </w:rPr>
        <w:t>ricondotte a ULA – sono stimate</w:t>
      </w:r>
      <w:r w:rsidR="00402750" w:rsidRPr="00402750">
        <w:rPr>
          <w:rFonts w:ascii="Arial" w:hAnsi="Arial" w:cs="Arial"/>
          <w:sz w:val="24"/>
          <w:szCs w:val="24"/>
        </w:rPr>
        <w:t>, a settembre,</w:t>
      </w:r>
      <w:r w:rsidRPr="00402750">
        <w:rPr>
          <w:rFonts w:ascii="Arial" w:hAnsi="Arial" w:cs="Arial"/>
          <w:sz w:val="24"/>
          <w:szCs w:val="24"/>
        </w:rPr>
        <w:t xml:space="preserve"> in </w:t>
      </w:r>
      <w:r w:rsidR="00402750" w:rsidRPr="00402750">
        <w:rPr>
          <w:rFonts w:ascii="Arial" w:hAnsi="Arial" w:cs="Arial"/>
          <w:sz w:val="24"/>
          <w:szCs w:val="24"/>
        </w:rPr>
        <w:t>aumento,</w:t>
      </w:r>
      <w:r w:rsidRPr="00402750">
        <w:rPr>
          <w:rFonts w:ascii="Arial" w:hAnsi="Arial" w:cs="Arial"/>
          <w:sz w:val="24"/>
          <w:szCs w:val="24"/>
        </w:rPr>
        <w:t xml:space="preserve"> il che porta ad </w:t>
      </w:r>
      <w:r w:rsidR="00664AA0" w:rsidRPr="00402750">
        <w:rPr>
          <w:rFonts w:ascii="Arial" w:hAnsi="Arial" w:cs="Arial"/>
          <w:sz w:val="24"/>
          <w:szCs w:val="24"/>
        </w:rPr>
        <w:t>un</w:t>
      </w:r>
      <w:r w:rsidR="00402750" w:rsidRPr="00402750">
        <w:rPr>
          <w:rFonts w:ascii="Arial" w:hAnsi="Arial" w:cs="Arial"/>
          <w:sz w:val="24"/>
          <w:szCs w:val="24"/>
        </w:rPr>
        <w:t xml:space="preserve"> incremento </w:t>
      </w:r>
      <w:r w:rsidR="00664AA0" w:rsidRPr="00402750">
        <w:rPr>
          <w:rFonts w:ascii="Arial" w:hAnsi="Arial" w:cs="Arial"/>
          <w:sz w:val="24"/>
          <w:szCs w:val="24"/>
        </w:rPr>
        <w:t xml:space="preserve">del numero </w:t>
      </w:r>
      <w:r w:rsidR="009A0FEA" w:rsidRPr="00402750">
        <w:rPr>
          <w:rFonts w:ascii="Arial" w:hAnsi="Arial" w:cs="Arial"/>
          <w:sz w:val="24"/>
          <w:szCs w:val="24"/>
        </w:rPr>
        <w:t>di persone in CIG</w:t>
      </w:r>
      <w:r w:rsidR="00664AA0" w:rsidRPr="00402750">
        <w:rPr>
          <w:rFonts w:ascii="Arial" w:hAnsi="Arial" w:cs="Arial"/>
          <w:sz w:val="24"/>
          <w:szCs w:val="24"/>
        </w:rPr>
        <w:t>, passato da</w:t>
      </w:r>
      <w:r w:rsidR="00312690" w:rsidRPr="00402750">
        <w:rPr>
          <w:rFonts w:ascii="Arial" w:hAnsi="Arial" w:cs="Arial"/>
          <w:sz w:val="24"/>
          <w:szCs w:val="24"/>
        </w:rPr>
        <w:t>lle</w:t>
      </w:r>
      <w:r w:rsidR="00664AA0" w:rsidRPr="00402750">
        <w:rPr>
          <w:rFonts w:ascii="Arial" w:hAnsi="Arial" w:cs="Arial"/>
          <w:sz w:val="24"/>
          <w:szCs w:val="24"/>
        </w:rPr>
        <w:t xml:space="preserve"> </w:t>
      </w:r>
      <w:r w:rsidR="00C75D8B" w:rsidRPr="00402750">
        <w:rPr>
          <w:rFonts w:ascii="Arial" w:hAnsi="Arial" w:cs="Arial"/>
          <w:sz w:val="24"/>
          <w:szCs w:val="24"/>
        </w:rPr>
        <w:t>2</w:t>
      </w:r>
      <w:r w:rsidR="002935BC" w:rsidRPr="00402750">
        <w:rPr>
          <w:rFonts w:ascii="Arial" w:hAnsi="Arial" w:cs="Arial"/>
          <w:sz w:val="24"/>
          <w:szCs w:val="24"/>
        </w:rPr>
        <w:t>7</w:t>
      </w:r>
      <w:r w:rsidR="00402750" w:rsidRPr="00402750">
        <w:rPr>
          <w:rFonts w:ascii="Arial" w:hAnsi="Arial" w:cs="Arial"/>
          <w:sz w:val="24"/>
          <w:szCs w:val="24"/>
        </w:rPr>
        <w:t>3</w:t>
      </w:r>
      <w:r w:rsidR="00664AA0" w:rsidRPr="00402750">
        <w:rPr>
          <w:rFonts w:ascii="Arial" w:hAnsi="Arial" w:cs="Arial"/>
          <w:sz w:val="24"/>
          <w:szCs w:val="24"/>
        </w:rPr>
        <w:t xml:space="preserve">mila </w:t>
      </w:r>
      <w:r w:rsidR="00C75D8B" w:rsidRPr="00402750">
        <w:rPr>
          <w:rFonts w:ascii="Arial" w:hAnsi="Arial" w:cs="Arial"/>
          <w:sz w:val="24"/>
          <w:szCs w:val="24"/>
        </w:rPr>
        <w:t xml:space="preserve">stimate per </w:t>
      </w:r>
      <w:r w:rsidR="00402750" w:rsidRPr="00402750">
        <w:rPr>
          <w:rFonts w:ascii="Arial" w:hAnsi="Arial" w:cs="Arial"/>
          <w:sz w:val="24"/>
          <w:szCs w:val="24"/>
        </w:rPr>
        <w:t>agosto</w:t>
      </w:r>
      <w:r w:rsidR="00C75D8B" w:rsidRPr="00402750">
        <w:rPr>
          <w:rFonts w:ascii="Arial" w:hAnsi="Arial" w:cs="Arial"/>
          <w:sz w:val="24"/>
          <w:szCs w:val="24"/>
        </w:rPr>
        <w:t xml:space="preserve"> alle </w:t>
      </w:r>
      <w:r w:rsidR="00402750" w:rsidRPr="00402750">
        <w:rPr>
          <w:rFonts w:ascii="Arial" w:hAnsi="Arial" w:cs="Arial"/>
          <w:sz w:val="24"/>
          <w:szCs w:val="24"/>
        </w:rPr>
        <w:t>303</w:t>
      </w:r>
      <w:r w:rsidR="00C75D8B" w:rsidRPr="00402750">
        <w:rPr>
          <w:rFonts w:ascii="Arial" w:hAnsi="Arial" w:cs="Arial"/>
          <w:sz w:val="24"/>
          <w:szCs w:val="24"/>
        </w:rPr>
        <w:t xml:space="preserve">mila previste per </w:t>
      </w:r>
      <w:r w:rsidR="00402750" w:rsidRPr="00402750">
        <w:rPr>
          <w:rFonts w:ascii="Arial" w:hAnsi="Arial" w:cs="Arial"/>
          <w:sz w:val="24"/>
          <w:szCs w:val="24"/>
        </w:rPr>
        <w:t>settembre</w:t>
      </w:r>
      <w:r w:rsidR="009A0FEA" w:rsidRPr="00402750">
        <w:rPr>
          <w:rFonts w:ascii="Arial" w:hAnsi="Arial" w:cs="Arial"/>
          <w:sz w:val="24"/>
          <w:szCs w:val="24"/>
        </w:rPr>
        <w:t>.</w:t>
      </w:r>
    </w:p>
    <w:p w:rsidR="00804D16" w:rsidRPr="00402750" w:rsidRDefault="00CA265C" w:rsidP="00804D16">
      <w:pPr>
        <w:spacing w:after="0" w:line="240" w:lineRule="auto"/>
        <w:ind w:firstLine="709"/>
        <w:jc w:val="both"/>
        <w:rPr>
          <w:rFonts w:ascii="Arial" w:hAnsi="Arial" w:cs="Arial"/>
          <w:sz w:val="24"/>
          <w:szCs w:val="24"/>
        </w:rPr>
      </w:pPr>
      <w:r w:rsidRPr="00402750">
        <w:rPr>
          <w:rFonts w:ascii="Arial" w:hAnsi="Arial" w:cs="Arial"/>
          <w:sz w:val="24"/>
          <w:szCs w:val="24"/>
        </w:rPr>
        <w:t>Il numero di scoraggiati</w:t>
      </w:r>
      <w:r w:rsidR="00804D16" w:rsidRPr="00402750">
        <w:rPr>
          <w:rFonts w:ascii="Arial" w:hAnsi="Arial" w:cs="Arial"/>
          <w:sz w:val="24"/>
          <w:szCs w:val="24"/>
        </w:rPr>
        <w:t xml:space="preserve"> </w:t>
      </w:r>
      <w:r w:rsidR="007E2E56" w:rsidRPr="00402750">
        <w:rPr>
          <w:rFonts w:ascii="Arial" w:hAnsi="Arial" w:cs="Arial"/>
          <w:sz w:val="24"/>
          <w:szCs w:val="24"/>
        </w:rPr>
        <w:t xml:space="preserve">è </w:t>
      </w:r>
      <w:r w:rsidR="00055AF7" w:rsidRPr="00402750">
        <w:rPr>
          <w:rFonts w:ascii="Arial" w:hAnsi="Arial" w:cs="Arial"/>
          <w:sz w:val="24"/>
          <w:szCs w:val="24"/>
        </w:rPr>
        <w:t>stimato</w:t>
      </w:r>
      <w:r w:rsidR="007E2E56" w:rsidRPr="00402750">
        <w:rPr>
          <w:rFonts w:ascii="Arial" w:hAnsi="Arial" w:cs="Arial"/>
          <w:sz w:val="24"/>
          <w:szCs w:val="24"/>
        </w:rPr>
        <w:t xml:space="preserve"> in </w:t>
      </w:r>
      <w:r w:rsidR="002935BC" w:rsidRPr="00402750">
        <w:rPr>
          <w:rFonts w:ascii="Arial" w:hAnsi="Arial" w:cs="Arial"/>
          <w:sz w:val="24"/>
          <w:szCs w:val="24"/>
        </w:rPr>
        <w:t>aumento</w:t>
      </w:r>
      <w:r w:rsidR="007E2E56" w:rsidRPr="00402750">
        <w:rPr>
          <w:rFonts w:ascii="Arial" w:hAnsi="Arial" w:cs="Arial"/>
          <w:sz w:val="24"/>
          <w:szCs w:val="24"/>
        </w:rPr>
        <w:t xml:space="preserve"> da </w:t>
      </w:r>
      <w:r w:rsidR="002935BC" w:rsidRPr="00402750">
        <w:rPr>
          <w:rFonts w:ascii="Arial" w:hAnsi="Arial" w:cs="Arial"/>
          <w:sz w:val="24"/>
          <w:szCs w:val="24"/>
        </w:rPr>
        <w:t>7</w:t>
      </w:r>
      <w:r w:rsidR="00402750" w:rsidRPr="00402750">
        <w:rPr>
          <w:rFonts w:ascii="Arial" w:hAnsi="Arial" w:cs="Arial"/>
          <w:sz w:val="24"/>
          <w:szCs w:val="24"/>
        </w:rPr>
        <w:t>35</w:t>
      </w:r>
      <w:r w:rsidR="007E2E56" w:rsidRPr="00402750">
        <w:rPr>
          <w:rFonts w:ascii="Arial" w:hAnsi="Arial" w:cs="Arial"/>
          <w:sz w:val="24"/>
          <w:szCs w:val="24"/>
        </w:rPr>
        <w:t xml:space="preserve">mila persone </w:t>
      </w:r>
      <w:r w:rsidR="00CC5526">
        <w:rPr>
          <w:rFonts w:ascii="Arial" w:hAnsi="Arial" w:cs="Arial"/>
          <w:sz w:val="24"/>
          <w:szCs w:val="24"/>
        </w:rPr>
        <w:t>di</w:t>
      </w:r>
      <w:r w:rsidR="00402750" w:rsidRPr="00402750">
        <w:rPr>
          <w:rFonts w:ascii="Arial" w:hAnsi="Arial" w:cs="Arial"/>
          <w:sz w:val="24"/>
          <w:szCs w:val="24"/>
        </w:rPr>
        <w:t xml:space="preserve"> agosto</w:t>
      </w:r>
      <w:r w:rsidR="007E2E56" w:rsidRPr="00402750">
        <w:rPr>
          <w:rFonts w:ascii="Arial" w:hAnsi="Arial" w:cs="Arial"/>
          <w:sz w:val="24"/>
          <w:szCs w:val="24"/>
        </w:rPr>
        <w:t xml:space="preserve"> a </w:t>
      </w:r>
      <w:r w:rsidR="00C75D8B" w:rsidRPr="00402750">
        <w:rPr>
          <w:rFonts w:ascii="Arial" w:hAnsi="Arial" w:cs="Arial"/>
          <w:sz w:val="24"/>
          <w:szCs w:val="24"/>
        </w:rPr>
        <w:t>7</w:t>
      </w:r>
      <w:r w:rsidR="00402750" w:rsidRPr="00402750">
        <w:rPr>
          <w:rFonts w:ascii="Arial" w:hAnsi="Arial" w:cs="Arial"/>
          <w:sz w:val="24"/>
          <w:szCs w:val="24"/>
        </w:rPr>
        <w:t>69</w:t>
      </w:r>
      <w:r w:rsidR="007E2E56" w:rsidRPr="00402750">
        <w:rPr>
          <w:rFonts w:ascii="Arial" w:hAnsi="Arial" w:cs="Arial"/>
          <w:sz w:val="24"/>
          <w:szCs w:val="24"/>
        </w:rPr>
        <w:t>mila</w:t>
      </w:r>
      <w:r w:rsidR="00AD0A88" w:rsidRPr="00402750">
        <w:rPr>
          <w:rStyle w:val="Rimandonotaapidipagina"/>
          <w:rFonts w:ascii="Arial" w:hAnsi="Arial" w:cs="Arial"/>
          <w:sz w:val="24"/>
          <w:szCs w:val="24"/>
        </w:rPr>
        <w:footnoteReference w:id="2"/>
      </w:r>
      <w:r w:rsidR="00CC5526">
        <w:rPr>
          <w:rFonts w:ascii="Arial" w:hAnsi="Arial" w:cs="Arial"/>
          <w:sz w:val="24"/>
          <w:szCs w:val="24"/>
        </w:rPr>
        <w:t xml:space="preserve"> di settembre</w:t>
      </w:r>
      <w:r w:rsidR="007E2E56" w:rsidRPr="00402750">
        <w:rPr>
          <w:rFonts w:ascii="Arial" w:hAnsi="Arial" w:cs="Arial"/>
          <w:sz w:val="24"/>
          <w:szCs w:val="24"/>
        </w:rPr>
        <w:t>.</w:t>
      </w:r>
    </w:p>
    <w:p w:rsidR="00724640" w:rsidRPr="00402750" w:rsidRDefault="009A0FEA" w:rsidP="00791742">
      <w:pPr>
        <w:autoSpaceDE w:val="0"/>
        <w:autoSpaceDN w:val="0"/>
        <w:adjustRightInd w:val="0"/>
        <w:spacing w:after="0" w:line="240" w:lineRule="auto"/>
        <w:ind w:firstLine="709"/>
        <w:jc w:val="both"/>
        <w:rPr>
          <w:rFonts w:ascii="Arial" w:hAnsi="Arial" w:cs="Arial"/>
          <w:sz w:val="24"/>
          <w:szCs w:val="24"/>
        </w:rPr>
      </w:pPr>
      <w:r w:rsidRPr="00402750">
        <w:rPr>
          <w:rFonts w:ascii="Arial" w:hAnsi="Arial" w:cs="Arial"/>
          <w:sz w:val="24"/>
          <w:szCs w:val="24"/>
        </w:rPr>
        <w:t xml:space="preserve">Aggiungendo ai disoccupati ufficiali la stima delle persone in CIG </w:t>
      </w:r>
      <w:r w:rsidR="00B71B6F" w:rsidRPr="00402750">
        <w:rPr>
          <w:rFonts w:ascii="Arial" w:hAnsi="Arial" w:cs="Arial"/>
          <w:sz w:val="24"/>
          <w:szCs w:val="24"/>
        </w:rPr>
        <w:t xml:space="preserve">e </w:t>
      </w:r>
      <w:r w:rsidR="007D6258" w:rsidRPr="00402750">
        <w:rPr>
          <w:rFonts w:ascii="Arial" w:hAnsi="Arial" w:cs="Arial"/>
          <w:sz w:val="24"/>
          <w:szCs w:val="24"/>
        </w:rPr>
        <w:t>degli scoraggiati</w:t>
      </w:r>
      <w:r w:rsidRPr="00402750">
        <w:rPr>
          <w:rFonts w:ascii="Arial" w:hAnsi="Arial" w:cs="Arial"/>
          <w:sz w:val="24"/>
          <w:szCs w:val="24"/>
        </w:rPr>
        <w:t xml:space="preserve"> </w:t>
      </w:r>
      <w:r w:rsidR="00CC5526">
        <w:rPr>
          <w:rFonts w:ascii="Arial" w:hAnsi="Arial" w:cs="Arial"/>
          <w:sz w:val="24"/>
          <w:szCs w:val="24"/>
        </w:rPr>
        <w:t>si ottiene</w:t>
      </w:r>
      <w:r w:rsidRPr="00402750">
        <w:rPr>
          <w:rFonts w:ascii="Arial" w:hAnsi="Arial" w:cs="Arial"/>
          <w:sz w:val="24"/>
          <w:szCs w:val="24"/>
        </w:rPr>
        <w:t xml:space="preserve"> </w:t>
      </w:r>
      <w:r w:rsidR="000D3060" w:rsidRPr="00402750">
        <w:rPr>
          <w:rFonts w:ascii="Arial" w:hAnsi="Arial" w:cs="Arial"/>
          <w:sz w:val="24"/>
          <w:szCs w:val="24"/>
        </w:rPr>
        <w:t xml:space="preserve">per </w:t>
      </w:r>
      <w:r w:rsidR="00405182" w:rsidRPr="00402750">
        <w:rPr>
          <w:rFonts w:ascii="Arial" w:hAnsi="Arial" w:cs="Arial"/>
          <w:sz w:val="24"/>
          <w:szCs w:val="24"/>
        </w:rPr>
        <w:t>settembre</w:t>
      </w:r>
      <w:r w:rsidR="000D3060" w:rsidRPr="00402750">
        <w:rPr>
          <w:rFonts w:ascii="Arial" w:hAnsi="Arial" w:cs="Arial"/>
          <w:sz w:val="24"/>
          <w:szCs w:val="24"/>
        </w:rPr>
        <w:t xml:space="preserve"> </w:t>
      </w:r>
      <w:r w:rsidRPr="00402750">
        <w:rPr>
          <w:rFonts w:ascii="Arial" w:hAnsi="Arial" w:cs="Arial"/>
          <w:sz w:val="24"/>
          <w:szCs w:val="24"/>
        </w:rPr>
        <w:t>un</w:t>
      </w:r>
      <w:r w:rsidR="00B71B6F" w:rsidRPr="00402750">
        <w:rPr>
          <w:rFonts w:ascii="Arial" w:hAnsi="Arial" w:cs="Arial"/>
          <w:sz w:val="24"/>
          <w:szCs w:val="24"/>
        </w:rPr>
        <w:t xml:space="preserve"> tasso di disoccupazione esteso</w:t>
      </w:r>
      <w:r w:rsidRPr="00402750">
        <w:rPr>
          <w:rFonts w:ascii="Arial" w:hAnsi="Arial" w:cs="Arial"/>
          <w:sz w:val="24"/>
          <w:szCs w:val="24"/>
        </w:rPr>
        <w:t xml:space="preserve"> </w:t>
      </w:r>
      <w:r w:rsidR="007E2E56" w:rsidRPr="00402750">
        <w:rPr>
          <w:rFonts w:ascii="Arial" w:hAnsi="Arial" w:cs="Arial"/>
          <w:sz w:val="24"/>
          <w:szCs w:val="24"/>
        </w:rPr>
        <w:t>del</w:t>
      </w:r>
      <w:r w:rsidR="00500DBC" w:rsidRPr="00402750">
        <w:rPr>
          <w:rFonts w:ascii="Arial" w:hAnsi="Arial" w:cs="Arial"/>
          <w:sz w:val="24"/>
          <w:szCs w:val="24"/>
        </w:rPr>
        <w:t xml:space="preserve"> </w:t>
      </w:r>
      <w:r w:rsidR="00405182" w:rsidRPr="00402750">
        <w:rPr>
          <w:rFonts w:ascii="Arial" w:hAnsi="Arial" w:cs="Arial"/>
          <w:sz w:val="24"/>
          <w:szCs w:val="24"/>
        </w:rPr>
        <w:t>16,2</w:t>
      </w:r>
      <w:r w:rsidR="00B71B6F" w:rsidRPr="00402750">
        <w:rPr>
          <w:rFonts w:ascii="Arial" w:hAnsi="Arial" w:cs="Arial"/>
          <w:sz w:val="24"/>
          <w:szCs w:val="24"/>
        </w:rPr>
        <w:t>%</w:t>
      </w:r>
      <w:r w:rsidRPr="00402750">
        <w:rPr>
          <w:rFonts w:ascii="Arial" w:hAnsi="Arial" w:cs="Arial"/>
          <w:sz w:val="24"/>
          <w:szCs w:val="24"/>
        </w:rPr>
        <w:t xml:space="preserve">, </w:t>
      </w:r>
      <w:r w:rsidR="00481970" w:rsidRPr="00402750">
        <w:rPr>
          <w:rFonts w:ascii="Arial" w:hAnsi="Arial" w:cs="Arial"/>
          <w:sz w:val="24"/>
          <w:szCs w:val="24"/>
        </w:rPr>
        <w:t xml:space="preserve">in </w:t>
      </w:r>
      <w:r w:rsidR="002F7928" w:rsidRPr="00402750">
        <w:rPr>
          <w:rFonts w:ascii="Arial" w:hAnsi="Arial" w:cs="Arial"/>
          <w:sz w:val="24"/>
          <w:szCs w:val="24"/>
        </w:rPr>
        <w:t xml:space="preserve">aumento </w:t>
      </w:r>
      <w:r w:rsidR="00F518A9" w:rsidRPr="00402750">
        <w:rPr>
          <w:rFonts w:ascii="Arial" w:hAnsi="Arial" w:cs="Arial"/>
          <w:sz w:val="24"/>
          <w:szCs w:val="24"/>
        </w:rPr>
        <w:t>di 0,</w:t>
      </w:r>
      <w:r w:rsidR="002F7928" w:rsidRPr="00402750">
        <w:rPr>
          <w:rFonts w:ascii="Arial" w:hAnsi="Arial" w:cs="Arial"/>
          <w:sz w:val="24"/>
          <w:szCs w:val="24"/>
        </w:rPr>
        <w:t>3</w:t>
      </w:r>
      <w:r w:rsidR="00405182" w:rsidRPr="00402750">
        <w:rPr>
          <w:rFonts w:ascii="Arial" w:hAnsi="Arial" w:cs="Arial"/>
          <w:sz w:val="24"/>
          <w:szCs w:val="24"/>
        </w:rPr>
        <w:t xml:space="preserve"> punti rispetto ad agosto </w:t>
      </w:r>
      <w:r w:rsidR="00402750" w:rsidRPr="00402750">
        <w:rPr>
          <w:rFonts w:ascii="Arial" w:hAnsi="Arial" w:cs="Arial"/>
          <w:sz w:val="24"/>
          <w:szCs w:val="24"/>
        </w:rPr>
        <w:t>(</w:t>
      </w:r>
      <w:proofErr w:type="spellStart"/>
      <w:r w:rsidR="00402750" w:rsidRPr="00402750">
        <w:rPr>
          <w:rFonts w:ascii="Arial" w:hAnsi="Arial" w:cs="Arial"/>
          <w:sz w:val="24"/>
          <w:szCs w:val="24"/>
        </w:rPr>
        <w:t>ta</w:t>
      </w:r>
      <w:r w:rsidR="00CC5526">
        <w:rPr>
          <w:rFonts w:ascii="Arial" w:hAnsi="Arial" w:cs="Arial"/>
          <w:sz w:val="24"/>
          <w:szCs w:val="24"/>
        </w:rPr>
        <w:t>b</w:t>
      </w:r>
      <w:proofErr w:type="spellEnd"/>
      <w:r w:rsidR="00402750" w:rsidRPr="00402750">
        <w:rPr>
          <w:rFonts w:ascii="Arial" w:hAnsi="Arial" w:cs="Arial"/>
          <w:sz w:val="24"/>
          <w:szCs w:val="24"/>
        </w:rPr>
        <w:t>.</w:t>
      </w:r>
      <w:r w:rsidR="000411EC" w:rsidRPr="00402750">
        <w:rPr>
          <w:rFonts w:ascii="Arial" w:hAnsi="Arial" w:cs="Arial"/>
          <w:sz w:val="24"/>
          <w:szCs w:val="24"/>
        </w:rPr>
        <w:t xml:space="preserve"> 1)</w:t>
      </w:r>
      <w:r w:rsidR="0079138C" w:rsidRPr="00402750">
        <w:rPr>
          <w:rFonts w:ascii="Arial" w:hAnsi="Arial" w:cs="Arial"/>
          <w:sz w:val="24"/>
          <w:szCs w:val="24"/>
        </w:rPr>
        <w:t xml:space="preserve">. </w:t>
      </w:r>
    </w:p>
    <w:p w:rsidR="00825E9E" w:rsidRPr="00402750" w:rsidRDefault="00825E9E" w:rsidP="00791742">
      <w:pPr>
        <w:autoSpaceDE w:val="0"/>
        <w:autoSpaceDN w:val="0"/>
        <w:adjustRightInd w:val="0"/>
        <w:spacing w:after="0" w:line="240" w:lineRule="auto"/>
        <w:ind w:firstLine="709"/>
        <w:jc w:val="both"/>
        <w:rPr>
          <w:rFonts w:ascii="Arial" w:hAnsi="Arial" w:cs="Arial"/>
          <w:sz w:val="24"/>
          <w:szCs w:val="24"/>
        </w:rPr>
      </w:pPr>
      <w:r w:rsidRPr="00402750">
        <w:rPr>
          <w:rFonts w:ascii="Arial" w:hAnsi="Arial" w:cs="Arial"/>
          <w:sz w:val="24"/>
          <w:szCs w:val="24"/>
        </w:rPr>
        <w:t xml:space="preserve">L’inflazione dei beni e dei servizi ad alta frequenza di acquisto </w:t>
      </w:r>
      <w:r w:rsidR="00230BED" w:rsidRPr="00402750">
        <w:rPr>
          <w:rFonts w:ascii="Arial" w:hAnsi="Arial" w:cs="Arial"/>
          <w:sz w:val="24"/>
          <w:szCs w:val="24"/>
        </w:rPr>
        <w:t xml:space="preserve">è </w:t>
      </w:r>
      <w:r w:rsidR="000411EC" w:rsidRPr="00402750">
        <w:rPr>
          <w:rFonts w:ascii="Arial" w:hAnsi="Arial" w:cs="Arial"/>
          <w:sz w:val="24"/>
          <w:szCs w:val="24"/>
        </w:rPr>
        <w:t xml:space="preserve">diminuita </w:t>
      </w:r>
      <w:r w:rsidR="00C906D0" w:rsidRPr="00402750">
        <w:rPr>
          <w:rFonts w:ascii="Arial" w:hAnsi="Arial" w:cs="Arial"/>
          <w:sz w:val="24"/>
          <w:szCs w:val="24"/>
        </w:rPr>
        <w:t>di 0,7 punti percentuali decimi scendendo all’1,0% (valore che non si registrava dall’aprile del 2009)</w:t>
      </w:r>
      <w:r w:rsidR="002F7928" w:rsidRPr="00402750">
        <w:rPr>
          <w:rFonts w:ascii="Arial" w:hAnsi="Arial" w:cs="Arial"/>
          <w:sz w:val="24"/>
          <w:szCs w:val="24"/>
        </w:rPr>
        <w:t>.</w:t>
      </w:r>
      <w:r w:rsidRPr="00402750">
        <w:rPr>
          <w:rFonts w:ascii="Arial" w:hAnsi="Arial" w:cs="Arial"/>
          <w:sz w:val="24"/>
          <w:szCs w:val="24"/>
        </w:rPr>
        <w:t xml:space="preserve"> </w:t>
      </w:r>
    </w:p>
    <w:p w:rsidR="003236BD" w:rsidRPr="00A1342C" w:rsidRDefault="00F16819" w:rsidP="003236B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Dato i</w:t>
      </w:r>
      <w:r w:rsidR="003236BD" w:rsidRPr="00402750">
        <w:rPr>
          <w:rFonts w:ascii="Arial" w:hAnsi="Arial" w:cs="Arial"/>
          <w:sz w:val="24"/>
          <w:szCs w:val="24"/>
        </w:rPr>
        <w:t>l maggior peso attribuito alla disoccupazione, l’incremento di 0,3 punti rilevato da questa componente</w:t>
      </w:r>
      <w:r w:rsidR="00CC5526">
        <w:rPr>
          <w:rFonts w:ascii="Arial" w:hAnsi="Arial" w:cs="Arial"/>
          <w:sz w:val="24"/>
          <w:szCs w:val="24"/>
        </w:rPr>
        <w:t>,</w:t>
      </w:r>
      <w:r w:rsidR="003236BD" w:rsidRPr="00402750">
        <w:rPr>
          <w:rFonts w:ascii="Arial" w:hAnsi="Arial" w:cs="Arial"/>
          <w:sz w:val="24"/>
          <w:szCs w:val="24"/>
        </w:rPr>
        <w:t xml:space="preserve"> </w:t>
      </w:r>
      <w:r w:rsidR="00C906D0" w:rsidRPr="00402750">
        <w:rPr>
          <w:rFonts w:ascii="Arial" w:hAnsi="Arial" w:cs="Arial"/>
          <w:sz w:val="24"/>
          <w:szCs w:val="24"/>
        </w:rPr>
        <w:t>ha quasi compensato</w:t>
      </w:r>
      <w:r w:rsidR="003236BD" w:rsidRPr="00402750">
        <w:rPr>
          <w:rFonts w:ascii="Arial" w:hAnsi="Arial" w:cs="Arial"/>
          <w:sz w:val="24"/>
          <w:szCs w:val="24"/>
        </w:rPr>
        <w:t xml:space="preserve"> la diminuzione dell’inflazione dei beni e servizi ad alta frequenza d’acquisto, sicché il </w:t>
      </w:r>
      <w:r w:rsidR="003236BD" w:rsidRPr="00402750">
        <w:rPr>
          <w:rFonts w:ascii="Arial" w:hAnsi="Arial" w:cs="Arial"/>
          <w:b/>
          <w:color w:val="4F81BD" w:themeColor="accent1"/>
          <w:sz w:val="24"/>
          <w:szCs w:val="24"/>
        </w:rPr>
        <w:t>MIC</w:t>
      </w:r>
      <w:r w:rsidR="003236BD" w:rsidRPr="00402750">
        <w:rPr>
          <w:rStyle w:val="Rimandonotaapidipagina"/>
          <w:rFonts w:ascii="Arial" w:hAnsi="Arial" w:cs="Arial"/>
          <w:sz w:val="24"/>
          <w:szCs w:val="24"/>
        </w:rPr>
        <w:footnoteReference w:id="3"/>
      </w:r>
      <w:r w:rsidR="003236BD" w:rsidRPr="00402750">
        <w:rPr>
          <w:rFonts w:ascii="Arial" w:hAnsi="Arial" w:cs="Arial"/>
          <w:sz w:val="24"/>
          <w:szCs w:val="24"/>
        </w:rPr>
        <w:t xml:space="preserve"> di </w:t>
      </w:r>
      <w:r w:rsidR="00405182" w:rsidRPr="00402750">
        <w:rPr>
          <w:rFonts w:ascii="Arial" w:hAnsi="Arial" w:cs="Arial"/>
          <w:sz w:val="24"/>
          <w:szCs w:val="24"/>
        </w:rPr>
        <w:t>settembre diminuisce</w:t>
      </w:r>
      <w:r w:rsidR="003236BD" w:rsidRPr="00402750">
        <w:rPr>
          <w:rFonts w:ascii="Arial" w:hAnsi="Arial" w:cs="Arial"/>
          <w:sz w:val="24"/>
          <w:szCs w:val="24"/>
        </w:rPr>
        <w:t xml:space="preserve"> di 0,1 punti attestandosi ad un valore stimato di 21,2.</w:t>
      </w:r>
      <w:r w:rsidR="003236BD" w:rsidRPr="00AB30F5">
        <w:rPr>
          <w:rFonts w:ascii="Arial" w:hAnsi="Arial" w:cs="Arial"/>
          <w:sz w:val="24"/>
          <w:szCs w:val="24"/>
        </w:rPr>
        <w:t xml:space="preserve"> </w:t>
      </w:r>
    </w:p>
    <w:p w:rsidR="009974AB" w:rsidRPr="00A1342C" w:rsidRDefault="009974AB" w:rsidP="008E5574">
      <w:pPr>
        <w:autoSpaceDE w:val="0"/>
        <w:autoSpaceDN w:val="0"/>
        <w:adjustRightInd w:val="0"/>
        <w:spacing w:after="0" w:line="240" w:lineRule="auto"/>
        <w:jc w:val="both"/>
        <w:rPr>
          <w:rFonts w:ascii="Arial" w:hAnsi="Arial" w:cs="Arial"/>
          <w:sz w:val="24"/>
          <w:szCs w:val="24"/>
        </w:rPr>
      </w:pPr>
    </w:p>
    <w:p w:rsidR="00B63293" w:rsidRPr="00F65482" w:rsidRDefault="00643283" w:rsidP="004C37C9">
      <w:pPr>
        <w:autoSpaceDE w:val="0"/>
        <w:autoSpaceDN w:val="0"/>
        <w:adjustRightInd w:val="0"/>
        <w:spacing w:after="0" w:line="240" w:lineRule="auto"/>
        <w:ind w:firstLine="709"/>
        <w:jc w:val="both"/>
        <w:rPr>
          <w:rFonts w:ascii="Arial" w:hAnsi="Arial" w:cs="Arial"/>
          <w:sz w:val="24"/>
          <w:szCs w:val="24"/>
        </w:rPr>
      </w:pPr>
      <w:r w:rsidRPr="00F65482">
        <w:rPr>
          <w:rFonts w:ascii="Arial" w:hAnsi="Arial" w:cs="Arial"/>
          <w:sz w:val="24"/>
          <w:szCs w:val="24"/>
        </w:rPr>
        <w:t xml:space="preserve">La figura </w:t>
      </w:r>
      <w:r>
        <w:rPr>
          <w:rFonts w:ascii="Arial" w:hAnsi="Arial" w:cs="Arial"/>
          <w:sz w:val="24"/>
          <w:szCs w:val="24"/>
        </w:rPr>
        <w:t xml:space="preserve">1 </w:t>
      </w:r>
      <w:r w:rsidRPr="00F65482">
        <w:rPr>
          <w:rFonts w:ascii="Arial" w:hAnsi="Arial" w:cs="Arial"/>
          <w:sz w:val="24"/>
          <w:szCs w:val="24"/>
        </w:rPr>
        <w:t xml:space="preserve">mostra l’andamento del </w:t>
      </w:r>
      <w:r>
        <w:rPr>
          <w:rFonts w:ascii="Arial" w:hAnsi="Arial" w:cs="Arial"/>
          <w:sz w:val="24"/>
          <w:szCs w:val="24"/>
        </w:rPr>
        <w:t xml:space="preserve">MIC </w:t>
      </w:r>
      <w:r w:rsidRPr="00F65482">
        <w:rPr>
          <w:rFonts w:ascii="Arial" w:hAnsi="Arial" w:cs="Arial"/>
          <w:sz w:val="24"/>
          <w:szCs w:val="24"/>
        </w:rPr>
        <w:t>scomposto nei contributi dati dalle due componenti (in rosso l’inflazione dei beni e servizi ad alta frequenza d’acquisto ed i</w:t>
      </w:r>
      <w:r>
        <w:rPr>
          <w:rFonts w:ascii="Arial" w:hAnsi="Arial" w:cs="Arial"/>
          <w:sz w:val="24"/>
          <w:szCs w:val="24"/>
        </w:rPr>
        <w:t xml:space="preserve">n blu la disoccupazione estesa), mentre l’ingrandimento riporta l’andamento complessivo del </w:t>
      </w:r>
      <w:r w:rsidRPr="00F65482">
        <w:rPr>
          <w:rFonts w:ascii="Arial" w:hAnsi="Arial" w:cs="Arial"/>
          <w:sz w:val="24"/>
          <w:szCs w:val="24"/>
        </w:rPr>
        <w:t xml:space="preserve">disagio sociale </w:t>
      </w:r>
      <w:r>
        <w:rPr>
          <w:rFonts w:ascii="Arial" w:hAnsi="Arial" w:cs="Arial"/>
          <w:sz w:val="24"/>
          <w:szCs w:val="24"/>
        </w:rPr>
        <w:t xml:space="preserve">negli ultimi </w:t>
      </w:r>
      <w:r w:rsidR="00402750">
        <w:rPr>
          <w:rFonts w:ascii="Arial" w:hAnsi="Arial" w:cs="Arial"/>
          <w:sz w:val="24"/>
          <w:szCs w:val="24"/>
        </w:rPr>
        <w:t>nove</w:t>
      </w:r>
      <w:r>
        <w:rPr>
          <w:rFonts w:ascii="Arial" w:hAnsi="Arial" w:cs="Arial"/>
          <w:sz w:val="24"/>
          <w:szCs w:val="24"/>
        </w:rPr>
        <w:t xml:space="preserve"> mesi. </w:t>
      </w:r>
      <w:r w:rsidR="00896943" w:rsidRPr="00163424">
        <w:rPr>
          <w:rFonts w:ascii="Arial" w:hAnsi="Arial" w:cs="Arial"/>
          <w:sz w:val="24"/>
          <w:szCs w:val="24"/>
        </w:rPr>
        <w:t>Nel</w:t>
      </w:r>
      <w:r w:rsidR="001E1144" w:rsidRPr="00163424">
        <w:rPr>
          <w:rFonts w:ascii="Arial" w:hAnsi="Arial" w:cs="Arial"/>
          <w:sz w:val="24"/>
          <w:szCs w:val="24"/>
        </w:rPr>
        <w:t xml:space="preserve"> medio periodo il MIC è passato </w:t>
      </w:r>
      <w:r w:rsidR="00243CC6" w:rsidRPr="00163424">
        <w:rPr>
          <w:rFonts w:ascii="Arial" w:hAnsi="Arial" w:cs="Arial"/>
          <w:sz w:val="24"/>
          <w:szCs w:val="24"/>
        </w:rPr>
        <w:t>dagli</w:t>
      </w:r>
      <w:r w:rsidR="001E1144" w:rsidRPr="00163424">
        <w:rPr>
          <w:rFonts w:ascii="Arial" w:hAnsi="Arial" w:cs="Arial"/>
          <w:sz w:val="24"/>
          <w:szCs w:val="24"/>
        </w:rPr>
        <w:t xml:space="preserve"> 1</w:t>
      </w:r>
      <w:r w:rsidR="000D3060" w:rsidRPr="00163424">
        <w:rPr>
          <w:rFonts w:ascii="Arial" w:hAnsi="Arial" w:cs="Arial"/>
          <w:sz w:val="24"/>
          <w:szCs w:val="24"/>
        </w:rPr>
        <w:t>1</w:t>
      </w:r>
      <w:r w:rsidR="001E1144" w:rsidRPr="00163424">
        <w:rPr>
          <w:rFonts w:ascii="Arial" w:hAnsi="Arial" w:cs="Arial"/>
          <w:sz w:val="24"/>
          <w:szCs w:val="24"/>
        </w:rPr>
        <w:t xml:space="preserve"> punti </w:t>
      </w:r>
      <w:r w:rsidR="004A06FC" w:rsidRPr="00163424">
        <w:rPr>
          <w:rFonts w:ascii="Arial" w:hAnsi="Arial" w:cs="Arial"/>
          <w:sz w:val="24"/>
          <w:szCs w:val="24"/>
        </w:rPr>
        <w:t xml:space="preserve">di inizio </w:t>
      </w:r>
      <w:r w:rsidR="001E1144" w:rsidRPr="00163424">
        <w:rPr>
          <w:rFonts w:ascii="Arial" w:hAnsi="Arial" w:cs="Arial"/>
          <w:sz w:val="24"/>
          <w:szCs w:val="24"/>
        </w:rPr>
        <w:t>2007 a</w:t>
      </w:r>
      <w:r w:rsidR="00A1342C" w:rsidRPr="00163424">
        <w:rPr>
          <w:rFonts w:ascii="Arial" w:hAnsi="Arial" w:cs="Arial"/>
          <w:sz w:val="24"/>
          <w:szCs w:val="24"/>
        </w:rPr>
        <w:t>d oltre 2</w:t>
      </w:r>
      <w:r w:rsidR="00163424" w:rsidRPr="00163424">
        <w:rPr>
          <w:rFonts w:ascii="Arial" w:hAnsi="Arial" w:cs="Arial"/>
          <w:sz w:val="24"/>
          <w:szCs w:val="24"/>
        </w:rPr>
        <w:t>1</w:t>
      </w:r>
      <w:r w:rsidR="00A1342C" w:rsidRPr="00163424">
        <w:rPr>
          <w:rFonts w:ascii="Arial" w:hAnsi="Arial" w:cs="Arial"/>
          <w:sz w:val="24"/>
          <w:szCs w:val="24"/>
        </w:rPr>
        <w:t xml:space="preserve"> del</w:t>
      </w:r>
      <w:r w:rsidR="000D3060" w:rsidRPr="00163424">
        <w:rPr>
          <w:rFonts w:ascii="Arial" w:hAnsi="Arial" w:cs="Arial"/>
          <w:sz w:val="24"/>
          <w:szCs w:val="24"/>
        </w:rPr>
        <w:t xml:space="preserve"> </w:t>
      </w:r>
      <w:r w:rsidR="001E1144" w:rsidRPr="00163424">
        <w:rPr>
          <w:rFonts w:ascii="Arial" w:hAnsi="Arial" w:cs="Arial"/>
          <w:sz w:val="24"/>
          <w:szCs w:val="24"/>
        </w:rPr>
        <w:t>201</w:t>
      </w:r>
      <w:r w:rsidR="000D3060" w:rsidRPr="00163424">
        <w:rPr>
          <w:rFonts w:ascii="Arial" w:hAnsi="Arial" w:cs="Arial"/>
          <w:sz w:val="24"/>
          <w:szCs w:val="24"/>
        </w:rPr>
        <w:t xml:space="preserve">3 – con </w:t>
      </w:r>
      <w:r w:rsidR="00E56EA6" w:rsidRPr="00163424">
        <w:rPr>
          <w:rFonts w:ascii="Arial" w:hAnsi="Arial" w:cs="Arial"/>
          <w:sz w:val="24"/>
          <w:szCs w:val="24"/>
        </w:rPr>
        <w:t>un picco</w:t>
      </w:r>
      <w:r w:rsidR="000D3060" w:rsidRPr="00163424">
        <w:rPr>
          <w:rFonts w:ascii="Arial" w:hAnsi="Arial" w:cs="Arial"/>
          <w:sz w:val="24"/>
          <w:szCs w:val="24"/>
        </w:rPr>
        <w:t xml:space="preserve"> di </w:t>
      </w:r>
      <w:r w:rsidR="00243CC6" w:rsidRPr="00163424">
        <w:rPr>
          <w:rFonts w:ascii="Arial" w:hAnsi="Arial" w:cs="Arial"/>
          <w:sz w:val="24"/>
          <w:szCs w:val="24"/>
        </w:rPr>
        <w:t>quasi</w:t>
      </w:r>
      <w:r w:rsidR="000D3060" w:rsidRPr="00163424">
        <w:rPr>
          <w:rFonts w:ascii="Arial" w:hAnsi="Arial" w:cs="Arial"/>
          <w:sz w:val="24"/>
          <w:szCs w:val="24"/>
        </w:rPr>
        <w:t xml:space="preserve"> 2</w:t>
      </w:r>
      <w:r w:rsidR="00243CC6" w:rsidRPr="00163424">
        <w:rPr>
          <w:rFonts w:ascii="Arial" w:hAnsi="Arial" w:cs="Arial"/>
          <w:sz w:val="24"/>
          <w:szCs w:val="24"/>
        </w:rPr>
        <w:t>2</w:t>
      </w:r>
      <w:r w:rsidR="000D3060" w:rsidRPr="00163424">
        <w:rPr>
          <w:rFonts w:ascii="Arial" w:hAnsi="Arial" w:cs="Arial"/>
          <w:sz w:val="24"/>
          <w:szCs w:val="24"/>
        </w:rPr>
        <w:t xml:space="preserve"> punti nel </w:t>
      </w:r>
      <w:r w:rsidR="00E56EA6" w:rsidRPr="00163424">
        <w:rPr>
          <w:rFonts w:ascii="Arial" w:hAnsi="Arial" w:cs="Arial"/>
          <w:sz w:val="24"/>
          <w:szCs w:val="24"/>
        </w:rPr>
        <w:t xml:space="preserve">settembre </w:t>
      </w:r>
      <w:r w:rsidR="000D3060" w:rsidRPr="00163424">
        <w:rPr>
          <w:rFonts w:ascii="Arial" w:hAnsi="Arial" w:cs="Arial"/>
          <w:sz w:val="24"/>
          <w:szCs w:val="24"/>
        </w:rPr>
        <w:t xml:space="preserve">2012 – </w:t>
      </w:r>
      <w:r w:rsidR="00896943" w:rsidRPr="00163424">
        <w:rPr>
          <w:rFonts w:ascii="Arial" w:hAnsi="Arial" w:cs="Arial"/>
          <w:sz w:val="24"/>
          <w:szCs w:val="24"/>
        </w:rPr>
        <w:t xml:space="preserve">disegnando un percorso di rapida crescita del </w:t>
      </w:r>
      <w:r w:rsidR="00896943" w:rsidRPr="00F65482">
        <w:rPr>
          <w:rFonts w:ascii="Arial" w:hAnsi="Arial" w:cs="Arial"/>
          <w:sz w:val="24"/>
          <w:szCs w:val="24"/>
        </w:rPr>
        <w:t>disagio sociale</w:t>
      </w:r>
      <w:r>
        <w:rPr>
          <w:rFonts w:ascii="Arial" w:hAnsi="Arial" w:cs="Arial"/>
          <w:sz w:val="24"/>
          <w:szCs w:val="24"/>
        </w:rPr>
        <w:t>, che nel corso del 2013 si sta riaggravando</w:t>
      </w:r>
      <w:r w:rsidR="001E1144" w:rsidRPr="00F65482">
        <w:rPr>
          <w:rFonts w:ascii="Arial" w:hAnsi="Arial" w:cs="Arial"/>
          <w:sz w:val="24"/>
          <w:szCs w:val="24"/>
        </w:rPr>
        <w:t xml:space="preserve">. </w:t>
      </w:r>
    </w:p>
    <w:p w:rsidR="00F65482" w:rsidRPr="00163424" w:rsidRDefault="00F65482" w:rsidP="004C37C9">
      <w:pPr>
        <w:autoSpaceDE w:val="0"/>
        <w:autoSpaceDN w:val="0"/>
        <w:adjustRightInd w:val="0"/>
        <w:spacing w:after="0" w:line="240" w:lineRule="auto"/>
        <w:ind w:firstLine="709"/>
        <w:jc w:val="both"/>
        <w:rPr>
          <w:rFonts w:ascii="Arial" w:hAnsi="Arial" w:cs="Arial"/>
          <w:sz w:val="24"/>
          <w:szCs w:val="24"/>
        </w:rPr>
      </w:pPr>
    </w:p>
    <w:p w:rsidR="00640849" w:rsidRPr="00163424" w:rsidRDefault="00640849" w:rsidP="00640849">
      <w:pPr>
        <w:spacing w:after="0"/>
        <w:ind w:left="567"/>
        <w:jc w:val="center"/>
        <w:rPr>
          <w:rFonts w:ascii="Arial" w:hAnsi="Arial" w:cs="Arial"/>
          <w:sz w:val="24"/>
          <w:szCs w:val="28"/>
        </w:rPr>
      </w:pPr>
      <w:r w:rsidRPr="00163424">
        <w:rPr>
          <w:rFonts w:ascii="Arial" w:hAnsi="Arial" w:cs="Arial"/>
          <w:b/>
          <w:bCs/>
          <w:sz w:val="24"/>
          <w:szCs w:val="28"/>
        </w:rPr>
        <w:t xml:space="preserve">Figura 1: </w:t>
      </w:r>
      <w:proofErr w:type="spellStart"/>
      <w:r w:rsidRPr="00163424">
        <w:rPr>
          <w:rFonts w:ascii="Arial" w:hAnsi="Arial" w:cs="Arial"/>
          <w:b/>
          <w:bCs/>
          <w:sz w:val="24"/>
          <w:szCs w:val="28"/>
        </w:rPr>
        <w:t>Misery</w:t>
      </w:r>
      <w:proofErr w:type="spellEnd"/>
      <w:r w:rsidRPr="00163424">
        <w:rPr>
          <w:rFonts w:ascii="Arial" w:hAnsi="Arial" w:cs="Arial"/>
          <w:b/>
          <w:bCs/>
          <w:sz w:val="24"/>
          <w:szCs w:val="28"/>
        </w:rPr>
        <w:t xml:space="preserve"> Index Confcommercio (MIC)</w:t>
      </w:r>
    </w:p>
    <w:p w:rsidR="00723FCE" w:rsidRPr="00A1342C" w:rsidRDefault="00371BF6" w:rsidP="00640849">
      <w:pPr>
        <w:spacing w:after="0"/>
        <w:jc w:val="center"/>
        <w:rPr>
          <w:rFonts w:ascii="Arial" w:hAnsi="Arial" w:cs="Arial"/>
        </w:rPr>
      </w:pPr>
      <w:r>
        <w:rPr>
          <w:noProof/>
          <w:lang w:eastAsia="it-IT"/>
        </w:rPr>
        <w:drawing>
          <wp:inline distT="0" distB="0" distL="0" distR="0" wp14:anchorId="76D8EDFB" wp14:editId="5A3C6DD7">
            <wp:extent cx="6121730" cy="2945081"/>
            <wp:effectExtent l="0" t="0" r="12700" b="27305"/>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7A5C" w:rsidRPr="00A1342C" w:rsidRDefault="00997A5C" w:rsidP="00BA4696">
      <w:pPr>
        <w:spacing w:after="0"/>
        <w:ind w:left="567" w:right="566"/>
        <w:jc w:val="both"/>
        <w:rPr>
          <w:rFonts w:ascii="Arial" w:hAnsi="Arial" w:cs="Arial"/>
          <w:i/>
          <w:sz w:val="16"/>
          <w:szCs w:val="16"/>
        </w:rPr>
      </w:pPr>
      <w:r w:rsidRPr="00A1342C">
        <w:rPr>
          <w:rFonts w:ascii="Arial" w:hAnsi="Arial" w:cs="Arial"/>
          <w:sz w:val="16"/>
          <w:szCs w:val="16"/>
        </w:rPr>
        <w:t>Elaborazioni Ufficio Studi Confcommercio-Imprese per l’Italia su dati ISTAT ed INPS</w:t>
      </w:r>
      <w:r w:rsidR="007E2E56" w:rsidRPr="00A1342C">
        <w:rPr>
          <w:rFonts w:ascii="Arial" w:hAnsi="Arial" w:cs="Arial"/>
          <w:sz w:val="16"/>
          <w:szCs w:val="16"/>
        </w:rPr>
        <w:t>.</w:t>
      </w:r>
    </w:p>
    <w:p w:rsidR="007E2E56" w:rsidRDefault="00997A5C" w:rsidP="00BA4696">
      <w:pPr>
        <w:spacing w:after="0"/>
        <w:ind w:left="567" w:right="566"/>
        <w:jc w:val="both"/>
        <w:rPr>
          <w:rFonts w:ascii="Arial" w:hAnsi="Arial" w:cs="Arial"/>
          <w:sz w:val="16"/>
          <w:szCs w:val="16"/>
        </w:rPr>
      </w:pPr>
      <w:r w:rsidRPr="00A1342C">
        <w:rPr>
          <w:rFonts w:ascii="Arial" w:hAnsi="Arial" w:cs="Arial"/>
          <w:sz w:val="16"/>
          <w:szCs w:val="16"/>
        </w:rPr>
        <w:t>Legenda: per le definizioni si veda la nota tecnica.</w:t>
      </w:r>
      <w:r w:rsidR="00B6749E" w:rsidRPr="00A1342C">
        <w:rPr>
          <w:rFonts w:ascii="Arial" w:hAnsi="Arial" w:cs="Arial"/>
          <w:sz w:val="16"/>
          <w:szCs w:val="16"/>
        </w:rPr>
        <w:t xml:space="preserve"> </w:t>
      </w:r>
      <w:r w:rsidR="007E2E56" w:rsidRPr="00A1342C">
        <w:rPr>
          <w:rFonts w:ascii="Arial" w:hAnsi="Arial" w:cs="Arial"/>
          <w:sz w:val="16"/>
          <w:szCs w:val="16"/>
        </w:rPr>
        <w:t xml:space="preserve">I dati degli ultimi </w:t>
      </w:r>
      <w:r w:rsidR="00230BED">
        <w:rPr>
          <w:rFonts w:ascii="Arial" w:hAnsi="Arial" w:cs="Arial"/>
          <w:sz w:val="16"/>
          <w:szCs w:val="16"/>
        </w:rPr>
        <w:t>due</w:t>
      </w:r>
      <w:r w:rsidR="007E2E56" w:rsidRPr="00A1342C">
        <w:rPr>
          <w:rFonts w:ascii="Arial" w:hAnsi="Arial" w:cs="Arial"/>
          <w:sz w:val="16"/>
          <w:szCs w:val="16"/>
        </w:rPr>
        <w:t xml:space="preserve"> mesi sono frutto di stime (cfr. la nota tecnica a pag. 3).</w:t>
      </w:r>
    </w:p>
    <w:p w:rsidR="009E5685" w:rsidRDefault="009E5685" w:rsidP="00BA4696">
      <w:pPr>
        <w:spacing w:after="0"/>
        <w:ind w:left="567" w:right="566"/>
        <w:jc w:val="both"/>
        <w:rPr>
          <w:rFonts w:ascii="Arial" w:hAnsi="Arial" w:cs="Arial"/>
          <w:sz w:val="16"/>
          <w:szCs w:val="16"/>
        </w:rPr>
      </w:pPr>
    </w:p>
    <w:p w:rsidR="008E7FC7" w:rsidRPr="00A1342C" w:rsidRDefault="00CE41BA" w:rsidP="008E7FC7">
      <w:pPr>
        <w:spacing w:line="24" w:lineRule="atLeast"/>
        <w:jc w:val="center"/>
        <w:rPr>
          <w:rFonts w:ascii="Arial" w:hAnsi="Arial" w:cs="Arial"/>
          <w:b/>
          <w:bCs/>
          <w:color w:val="0000FF"/>
          <w:sz w:val="24"/>
          <w:szCs w:val="24"/>
        </w:rPr>
      </w:pPr>
      <w:r>
        <w:rPr>
          <w:rFonts w:ascii="Arial" w:hAnsi="Arial" w:cs="Arial"/>
          <w:b/>
          <w:bCs/>
          <w:color w:val="0000FF"/>
          <w:sz w:val="24"/>
          <w:szCs w:val="24"/>
        </w:rPr>
        <w:t>N</w:t>
      </w:r>
      <w:r w:rsidR="008E7FC7" w:rsidRPr="00A1342C">
        <w:rPr>
          <w:rFonts w:ascii="Arial" w:hAnsi="Arial" w:cs="Arial"/>
          <w:b/>
          <w:bCs/>
          <w:color w:val="0000FF"/>
          <w:sz w:val="24"/>
          <w:szCs w:val="24"/>
        </w:rPr>
        <w:t xml:space="preserve">ota </w:t>
      </w:r>
      <w:r w:rsidR="00997A5C" w:rsidRPr="00A1342C">
        <w:rPr>
          <w:rFonts w:ascii="Arial" w:hAnsi="Arial" w:cs="Arial"/>
          <w:b/>
          <w:bCs/>
          <w:color w:val="0000FF"/>
          <w:sz w:val="24"/>
          <w:szCs w:val="24"/>
        </w:rPr>
        <w:t>tecnica</w:t>
      </w:r>
      <w:r w:rsidR="008E7FC7" w:rsidRPr="00A1342C">
        <w:rPr>
          <w:rFonts w:ascii="Arial" w:hAnsi="Arial" w:cs="Arial"/>
          <w:b/>
          <w:bCs/>
          <w:color w:val="0000FF"/>
          <w:sz w:val="24"/>
          <w:szCs w:val="24"/>
        </w:rPr>
        <w:t xml:space="preserve"> sul calcolo del </w:t>
      </w:r>
      <w:proofErr w:type="spellStart"/>
      <w:r w:rsidR="008E7FC7" w:rsidRPr="00A1342C">
        <w:rPr>
          <w:rFonts w:ascii="Arial" w:hAnsi="Arial" w:cs="Arial"/>
          <w:b/>
          <w:bCs/>
          <w:color w:val="0000FF"/>
          <w:sz w:val="24"/>
          <w:szCs w:val="24"/>
        </w:rPr>
        <w:t>Misery</w:t>
      </w:r>
      <w:proofErr w:type="spellEnd"/>
      <w:r w:rsidR="008E7FC7" w:rsidRPr="00A1342C">
        <w:rPr>
          <w:rFonts w:ascii="Arial" w:hAnsi="Arial" w:cs="Arial"/>
          <w:b/>
          <w:bCs/>
          <w:color w:val="0000FF"/>
          <w:sz w:val="24"/>
          <w:szCs w:val="24"/>
        </w:rPr>
        <w:t xml:space="preserve"> Index Confcommercio (MIC)</w:t>
      </w:r>
    </w:p>
    <w:p w:rsidR="0061766F" w:rsidRPr="00A1342C" w:rsidRDefault="0061766F" w:rsidP="00C33FF5">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 xml:space="preserve">Il </w:t>
      </w:r>
      <w:proofErr w:type="spellStart"/>
      <w:r w:rsidRPr="00A1342C">
        <w:rPr>
          <w:rFonts w:ascii="Arial" w:hAnsi="Arial" w:cs="Arial"/>
          <w:b/>
          <w:sz w:val="16"/>
          <w:szCs w:val="16"/>
        </w:rPr>
        <w:t>Misery</w:t>
      </w:r>
      <w:proofErr w:type="spellEnd"/>
      <w:r w:rsidRPr="00A1342C">
        <w:rPr>
          <w:rFonts w:ascii="Arial" w:hAnsi="Arial" w:cs="Arial"/>
          <w:b/>
          <w:sz w:val="16"/>
          <w:szCs w:val="16"/>
        </w:rPr>
        <w:t xml:space="preserve"> Index</w:t>
      </w:r>
      <w:r w:rsidRPr="00A1342C">
        <w:rPr>
          <w:rFonts w:ascii="Arial" w:hAnsi="Arial" w:cs="Arial"/>
          <w:sz w:val="16"/>
          <w:szCs w:val="16"/>
        </w:rPr>
        <w:t xml:space="preserve"> </w:t>
      </w:r>
      <w:r w:rsidR="008A4979" w:rsidRPr="00A1342C">
        <w:rPr>
          <w:rFonts w:ascii="Arial" w:hAnsi="Arial" w:cs="Arial"/>
          <w:b/>
          <w:sz w:val="16"/>
          <w:szCs w:val="16"/>
        </w:rPr>
        <w:t>(MI)</w:t>
      </w:r>
      <w:r w:rsidR="008A4979" w:rsidRPr="00A1342C">
        <w:rPr>
          <w:rFonts w:ascii="Arial" w:hAnsi="Arial" w:cs="Arial"/>
          <w:sz w:val="16"/>
          <w:szCs w:val="16"/>
        </w:rPr>
        <w:t xml:space="preserve"> </w:t>
      </w:r>
      <w:r w:rsidRPr="00A1342C">
        <w:rPr>
          <w:rFonts w:ascii="Arial" w:hAnsi="Arial" w:cs="Arial"/>
          <w:sz w:val="16"/>
          <w:szCs w:val="16"/>
        </w:rPr>
        <w:t>tradizionale è dato dalla semplice somma di tasso di disoccupazione e tasso d’inflazione. I pesi assegnati ai due “mali” sono dunque identici e pari a 1.</w:t>
      </w:r>
    </w:p>
    <w:p w:rsidR="0061766F" w:rsidRPr="00A1342C" w:rsidRDefault="0061766F" w:rsidP="00C33FF5">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 xml:space="preserve">Il </w:t>
      </w:r>
      <w:proofErr w:type="spellStart"/>
      <w:r w:rsidRPr="00A1342C">
        <w:rPr>
          <w:rFonts w:ascii="Arial" w:hAnsi="Arial" w:cs="Arial"/>
          <w:b/>
          <w:sz w:val="16"/>
          <w:szCs w:val="16"/>
        </w:rPr>
        <w:t>Misery</w:t>
      </w:r>
      <w:proofErr w:type="spellEnd"/>
      <w:r w:rsidRPr="00A1342C">
        <w:rPr>
          <w:rFonts w:ascii="Arial" w:hAnsi="Arial" w:cs="Arial"/>
          <w:b/>
          <w:sz w:val="16"/>
          <w:szCs w:val="16"/>
        </w:rPr>
        <w:t xml:space="preserve"> Index Confcommercio (MIC)</w:t>
      </w:r>
      <w:r w:rsidRPr="00A1342C">
        <w:rPr>
          <w:rFonts w:ascii="Arial" w:hAnsi="Arial" w:cs="Arial"/>
          <w:sz w:val="16"/>
          <w:szCs w:val="16"/>
        </w:rPr>
        <w:t xml:space="preserve"> è calcolato in modo da leggere con maggiore precisione la dinamica del disagio sociale, misurato in una metrica macroeconomica. Le due componenti del MIC sono il tasso di disoccupazione esteso, definito più sotto, e la variazione dei prezzi dei beni e dei servizi acquistati in alta frequenza (fonte I</w:t>
      </w:r>
      <w:r w:rsidR="00283C4D" w:rsidRPr="00A1342C">
        <w:rPr>
          <w:rFonts w:ascii="Arial" w:hAnsi="Arial" w:cs="Arial"/>
          <w:sz w:val="16"/>
          <w:szCs w:val="16"/>
        </w:rPr>
        <w:t>STAT</w:t>
      </w:r>
      <w:r w:rsidRPr="00A1342C">
        <w:rPr>
          <w:rFonts w:ascii="Arial" w:hAnsi="Arial" w:cs="Arial"/>
          <w:sz w:val="16"/>
          <w:szCs w:val="16"/>
        </w:rPr>
        <w:t>): le dinamiche di prezzo di questo paniere dovrebbero influenzare in modo più diretto la percezione dell’inflazione da parte delle famiglie, correlandosi direttamente con le preoccupazioni (disagio) in merito al proprio potere d’acquisto.</w:t>
      </w:r>
    </w:p>
    <w:p w:rsidR="0061766F" w:rsidRPr="00A1342C" w:rsidRDefault="0061766F" w:rsidP="00C33FF5">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Si assegnano pesi diversi alle due componenti, disoccupazione e</w:t>
      </w:r>
      <w:r w:rsidR="008A4979" w:rsidRPr="00A1342C">
        <w:rPr>
          <w:rFonts w:ascii="Arial" w:hAnsi="Arial" w:cs="Arial"/>
          <w:sz w:val="16"/>
          <w:szCs w:val="16"/>
        </w:rPr>
        <w:t>d</w:t>
      </w:r>
      <w:r w:rsidRPr="00A1342C">
        <w:rPr>
          <w:rFonts w:ascii="Arial" w:hAnsi="Arial" w:cs="Arial"/>
          <w:sz w:val="16"/>
          <w:szCs w:val="16"/>
        </w:rPr>
        <w:t xml:space="preserve"> inflazione, rispe</w:t>
      </w:r>
      <w:r w:rsidR="009B1DCC" w:rsidRPr="00A1342C">
        <w:rPr>
          <w:rFonts w:ascii="Arial" w:hAnsi="Arial" w:cs="Arial"/>
          <w:sz w:val="16"/>
          <w:szCs w:val="16"/>
        </w:rPr>
        <w:t>ttivamente 1,2647 e 0,7353. Ciò</w:t>
      </w:r>
      <w:r w:rsidRPr="00A1342C">
        <w:rPr>
          <w:rFonts w:ascii="Arial" w:hAnsi="Arial" w:cs="Arial"/>
          <w:sz w:val="16"/>
          <w:szCs w:val="16"/>
        </w:rPr>
        <w:t xml:space="preserve"> sulla base degli studi scientifici internazionali che, utilizzando dati </w:t>
      </w:r>
      <w:proofErr w:type="spellStart"/>
      <w:r w:rsidRPr="00A1342C">
        <w:rPr>
          <w:rFonts w:ascii="Arial" w:hAnsi="Arial" w:cs="Arial"/>
          <w:sz w:val="16"/>
          <w:szCs w:val="16"/>
        </w:rPr>
        <w:t>Eurobarometro</w:t>
      </w:r>
      <w:proofErr w:type="spellEnd"/>
      <w:r w:rsidRPr="00A1342C">
        <w:rPr>
          <w:rFonts w:ascii="Arial" w:hAnsi="Arial" w:cs="Arial"/>
          <w:sz w:val="16"/>
          <w:szCs w:val="16"/>
        </w:rPr>
        <w:t xml:space="preserve"> sul benessere dei cittadini europei (si veda Di Tella, </w:t>
      </w:r>
      <w:proofErr w:type="spellStart"/>
      <w:r w:rsidRPr="00A1342C">
        <w:rPr>
          <w:rFonts w:ascii="Arial" w:hAnsi="Arial" w:cs="Arial"/>
          <w:sz w:val="16"/>
          <w:szCs w:val="16"/>
        </w:rPr>
        <w:t>MacCulloch</w:t>
      </w:r>
      <w:proofErr w:type="spellEnd"/>
      <w:r w:rsidRPr="00A1342C">
        <w:rPr>
          <w:rFonts w:ascii="Arial" w:hAnsi="Arial" w:cs="Arial"/>
          <w:sz w:val="16"/>
          <w:szCs w:val="16"/>
        </w:rPr>
        <w:t xml:space="preserve"> ed Oswald, 2001), hanno dimostrato come il costo della disoccupazione in termini di soddisfazione di vita sia molto superiore a quello dell’inflazione.</w:t>
      </w:r>
    </w:p>
    <w:p w:rsidR="0061766F" w:rsidRPr="00A1342C" w:rsidRDefault="0061766F" w:rsidP="00C33FF5">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 xml:space="preserve">D’altra parte, tutte le recenti ricerche sociali evidenziano come prima preoccupazione dei cittadini sia la questione del lavoro, e quindi la paura della disoccupazione. Il </w:t>
      </w:r>
      <w:proofErr w:type="spellStart"/>
      <w:r w:rsidRPr="00A1342C">
        <w:rPr>
          <w:rFonts w:ascii="Arial" w:hAnsi="Arial" w:cs="Arial"/>
          <w:sz w:val="16"/>
          <w:szCs w:val="16"/>
        </w:rPr>
        <w:t>Misery</w:t>
      </w:r>
      <w:proofErr w:type="spellEnd"/>
      <w:r w:rsidRPr="00A1342C">
        <w:rPr>
          <w:rFonts w:ascii="Arial" w:hAnsi="Arial" w:cs="Arial"/>
          <w:sz w:val="16"/>
          <w:szCs w:val="16"/>
        </w:rPr>
        <w:t xml:space="preserve"> Index tradizionale, che assegna pesi uguali ai due mali, tende, dunque, a sottostimare i costi economici, psicologici e sociali - diretti ed indiretti - della disoccupazione. La quantificazione dei due pesi adottata nel MIC si basa sulla regressione 1 della Tabella 2 contenuta in Becchetti, Castriota e </w:t>
      </w:r>
      <w:proofErr w:type="spellStart"/>
      <w:r w:rsidRPr="00A1342C">
        <w:rPr>
          <w:rFonts w:ascii="Arial" w:hAnsi="Arial" w:cs="Arial"/>
          <w:sz w:val="16"/>
          <w:szCs w:val="16"/>
        </w:rPr>
        <w:t>Giuntella</w:t>
      </w:r>
      <w:proofErr w:type="spellEnd"/>
      <w:r w:rsidRPr="00A1342C">
        <w:rPr>
          <w:rFonts w:ascii="Arial" w:hAnsi="Arial" w:cs="Arial"/>
          <w:sz w:val="16"/>
          <w:szCs w:val="16"/>
        </w:rPr>
        <w:t xml:space="preserve"> (2010), in cui si stima che, per lasciare indifferente un cittadino medio europeo, l’aumento di un punto di disoccupazione deve essere compensato da una diminuzione di 1,72 punti di inflazione. Di conseguenza, i pesi della disoccupazione e dell’inflazione valgono, rispettiv</w:t>
      </w:r>
      <w:r w:rsidR="00956C16" w:rsidRPr="00A1342C">
        <w:rPr>
          <w:rFonts w:ascii="Arial" w:hAnsi="Arial" w:cs="Arial"/>
          <w:sz w:val="16"/>
          <w:szCs w:val="16"/>
        </w:rPr>
        <w:t>amente,</w:t>
      </w:r>
      <w:r w:rsidRPr="00A1342C">
        <w:rPr>
          <w:rFonts w:ascii="Arial" w:hAnsi="Arial" w:cs="Arial"/>
          <w:sz w:val="16"/>
          <w:szCs w:val="16"/>
        </w:rPr>
        <w:t xml:space="preserve"> (1,72/2,72)x2=1,2647 e (1/2,72)x2=0,7353. I pesi sono moltiplicati per due in modo da lasciare la loro somma uguale a due per consentire una lettura non ambigua dei risultati (anche nel calcolo del </w:t>
      </w:r>
      <w:proofErr w:type="spellStart"/>
      <w:r w:rsidRPr="00A1342C">
        <w:rPr>
          <w:rFonts w:ascii="Arial" w:hAnsi="Arial" w:cs="Arial"/>
          <w:sz w:val="16"/>
          <w:szCs w:val="16"/>
        </w:rPr>
        <w:t>Misery</w:t>
      </w:r>
      <w:proofErr w:type="spellEnd"/>
      <w:r w:rsidRPr="00A1342C">
        <w:rPr>
          <w:rFonts w:ascii="Arial" w:hAnsi="Arial" w:cs="Arial"/>
          <w:sz w:val="16"/>
          <w:szCs w:val="16"/>
        </w:rPr>
        <w:t xml:space="preserve"> Index tradizionale la somma dei pesi è pari a due).</w:t>
      </w:r>
    </w:p>
    <w:p w:rsidR="00F820E5" w:rsidRPr="00A1342C" w:rsidRDefault="00F820E5" w:rsidP="00C33FF5">
      <w:pPr>
        <w:pStyle w:val="Paragrafoelenco1"/>
        <w:spacing w:after="0" w:line="288" w:lineRule="auto"/>
        <w:ind w:left="0" w:firstLine="709"/>
        <w:jc w:val="both"/>
        <w:rPr>
          <w:rFonts w:ascii="Arial" w:hAnsi="Arial" w:cs="Arial"/>
          <w:sz w:val="16"/>
          <w:szCs w:val="16"/>
        </w:rPr>
      </w:pPr>
    </w:p>
    <w:p w:rsidR="0061766F" w:rsidRPr="00A1342C" w:rsidRDefault="0061766F" w:rsidP="00C33FF5">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Il tasso di disoccupazione esteso è il termine in parentesi quadra a destra nella seguente formula:</w:t>
      </w:r>
    </w:p>
    <w:p w:rsidR="0061766F" w:rsidRPr="00A1342C" w:rsidRDefault="0061766F" w:rsidP="00C33FF5">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MIC=0,7353 × (</w:t>
      </w:r>
      <w:proofErr w:type="spellStart"/>
      <w:r w:rsidRPr="00A1342C">
        <w:rPr>
          <w:rFonts w:ascii="Arial" w:hAnsi="Arial" w:cs="Arial"/>
          <w:sz w:val="16"/>
          <w:szCs w:val="16"/>
        </w:rPr>
        <w:t>infl</w:t>
      </w:r>
      <w:proofErr w:type="spellEnd"/>
      <w:r w:rsidRPr="00A1342C">
        <w:rPr>
          <w:rFonts w:ascii="Arial" w:hAnsi="Arial" w:cs="Arial"/>
          <w:sz w:val="16"/>
          <w:szCs w:val="16"/>
        </w:rPr>
        <w:t>. AF) + 1,2647 × [(</w:t>
      </w:r>
      <w:proofErr w:type="spellStart"/>
      <w:r w:rsidRPr="00A1342C">
        <w:rPr>
          <w:rFonts w:ascii="Arial" w:hAnsi="Arial" w:cs="Arial"/>
          <w:sz w:val="16"/>
          <w:szCs w:val="16"/>
        </w:rPr>
        <w:t>disocc</w:t>
      </w:r>
      <w:proofErr w:type="spellEnd"/>
      <w:r w:rsidRPr="00A1342C">
        <w:rPr>
          <w:rFonts w:ascii="Arial" w:hAnsi="Arial" w:cs="Arial"/>
          <w:sz w:val="16"/>
          <w:szCs w:val="16"/>
        </w:rPr>
        <w:t xml:space="preserve">.+FL </w:t>
      </w:r>
      <w:proofErr w:type="spellStart"/>
      <w:r w:rsidRPr="00A1342C">
        <w:rPr>
          <w:rFonts w:ascii="Arial" w:hAnsi="Arial" w:cs="Arial"/>
          <w:sz w:val="16"/>
          <w:szCs w:val="16"/>
        </w:rPr>
        <w:t>pot</w:t>
      </w:r>
      <w:proofErr w:type="spellEnd"/>
      <w:r w:rsidRPr="00A1342C">
        <w:rPr>
          <w:rFonts w:ascii="Arial" w:hAnsi="Arial" w:cs="Arial"/>
          <w:sz w:val="16"/>
          <w:szCs w:val="16"/>
        </w:rPr>
        <w:t>.+ CIG)/(</w:t>
      </w:r>
      <w:proofErr w:type="spellStart"/>
      <w:r w:rsidRPr="00A1342C">
        <w:rPr>
          <w:rFonts w:ascii="Arial" w:hAnsi="Arial" w:cs="Arial"/>
          <w:sz w:val="16"/>
          <w:szCs w:val="16"/>
        </w:rPr>
        <w:t>occ</w:t>
      </w:r>
      <w:proofErr w:type="spellEnd"/>
      <w:r w:rsidRPr="00A1342C">
        <w:rPr>
          <w:rFonts w:ascii="Arial" w:hAnsi="Arial" w:cs="Arial"/>
          <w:sz w:val="16"/>
          <w:szCs w:val="16"/>
        </w:rPr>
        <w:t>.+</w:t>
      </w:r>
      <w:proofErr w:type="spellStart"/>
      <w:r w:rsidRPr="00A1342C">
        <w:rPr>
          <w:rFonts w:ascii="Arial" w:hAnsi="Arial" w:cs="Arial"/>
          <w:sz w:val="16"/>
          <w:szCs w:val="16"/>
        </w:rPr>
        <w:t>disocc</w:t>
      </w:r>
      <w:proofErr w:type="spellEnd"/>
      <w:r w:rsidRPr="00A1342C">
        <w:rPr>
          <w:rFonts w:ascii="Arial" w:hAnsi="Arial" w:cs="Arial"/>
          <w:sz w:val="16"/>
          <w:szCs w:val="16"/>
        </w:rPr>
        <w:t xml:space="preserve">.+FL </w:t>
      </w:r>
      <w:proofErr w:type="spellStart"/>
      <w:r w:rsidRPr="00A1342C">
        <w:rPr>
          <w:rFonts w:ascii="Arial" w:hAnsi="Arial" w:cs="Arial"/>
          <w:sz w:val="16"/>
          <w:szCs w:val="16"/>
        </w:rPr>
        <w:t>pot</w:t>
      </w:r>
      <w:proofErr w:type="spellEnd"/>
      <w:r w:rsidRPr="00A1342C">
        <w:rPr>
          <w:rFonts w:ascii="Arial" w:hAnsi="Arial" w:cs="Arial"/>
          <w:sz w:val="16"/>
          <w:szCs w:val="16"/>
        </w:rPr>
        <w:t>.) × 100]</w:t>
      </w:r>
    </w:p>
    <w:p w:rsidR="0061766F" w:rsidRPr="00A1342C" w:rsidRDefault="0061766F" w:rsidP="00C33FF5">
      <w:pPr>
        <w:pStyle w:val="Paragrafoelenco1"/>
        <w:spacing w:after="0" w:line="288" w:lineRule="auto"/>
        <w:ind w:left="0" w:firstLine="709"/>
        <w:jc w:val="both"/>
        <w:rPr>
          <w:rFonts w:ascii="Arial" w:hAnsi="Arial" w:cs="Arial"/>
          <w:sz w:val="16"/>
          <w:szCs w:val="16"/>
        </w:rPr>
      </w:pPr>
    </w:p>
    <w:p w:rsidR="0061766F" w:rsidRPr="00A1342C" w:rsidRDefault="0061766F" w:rsidP="00C33FF5">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 xml:space="preserve">Al numeratore del tasso </w:t>
      </w:r>
      <w:r w:rsidR="000A1983" w:rsidRPr="00A1342C">
        <w:rPr>
          <w:rFonts w:ascii="Arial" w:hAnsi="Arial" w:cs="Arial"/>
          <w:sz w:val="16"/>
          <w:szCs w:val="16"/>
        </w:rPr>
        <w:t xml:space="preserve">di disoccupazione </w:t>
      </w:r>
      <w:r w:rsidRPr="00A1342C">
        <w:rPr>
          <w:rFonts w:ascii="Arial" w:hAnsi="Arial" w:cs="Arial"/>
          <w:sz w:val="16"/>
          <w:szCs w:val="16"/>
        </w:rPr>
        <w:t>esteso compaiono sia le forze di lavoro potenziali, come definite più sotto, sia i cassaintegrati equivalenti a zero ore. Questo concetto si esemplifica facilmente: se le ore di cassa integrazione sono otto in un giorno, quattro per una persona e quattro per un’altra persona, i cassaintegrati equivalenti sono</w:t>
      </w:r>
      <w:r w:rsidR="000A1983" w:rsidRPr="00A1342C">
        <w:rPr>
          <w:rFonts w:ascii="Arial" w:hAnsi="Arial" w:cs="Arial"/>
          <w:sz w:val="16"/>
          <w:szCs w:val="16"/>
        </w:rPr>
        <w:t xml:space="preserve"> pari a uno dal momento che un dipendente a tempo pieno lavora otto ore.</w:t>
      </w:r>
      <w:r w:rsidRPr="00A1342C">
        <w:rPr>
          <w:rFonts w:ascii="Arial" w:hAnsi="Arial" w:cs="Arial"/>
          <w:sz w:val="16"/>
          <w:szCs w:val="16"/>
        </w:rPr>
        <w:t xml:space="preserve"> Le forze di lavoro potenziali correggono opportunamente anche il denominatore, estendendo il concetto tradizionale di forze di lavoro</w:t>
      </w:r>
      <w:r w:rsidR="000A1983" w:rsidRPr="00A1342C">
        <w:rPr>
          <w:rFonts w:ascii="Arial" w:hAnsi="Arial" w:cs="Arial"/>
          <w:sz w:val="16"/>
          <w:szCs w:val="16"/>
        </w:rPr>
        <w:t xml:space="preserve"> a coloro che hanno svolto l’ultima azione d</w:t>
      </w:r>
      <w:r w:rsidR="00BB6C71" w:rsidRPr="00A1342C">
        <w:rPr>
          <w:rFonts w:ascii="Arial" w:hAnsi="Arial" w:cs="Arial"/>
          <w:sz w:val="16"/>
          <w:szCs w:val="16"/>
        </w:rPr>
        <w:t xml:space="preserve">i ricerca da due a tre mesi fa </w:t>
      </w:r>
      <w:r w:rsidR="000A1983" w:rsidRPr="00A1342C">
        <w:rPr>
          <w:rFonts w:ascii="Arial" w:hAnsi="Arial" w:cs="Arial"/>
          <w:sz w:val="16"/>
          <w:szCs w:val="16"/>
        </w:rPr>
        <w:t xml:space="preserve">e che, quindi, sono più </w:t>
      </w:r>
      <w:r w:rsidR="00BB6C71" w:rsidRPr="00A1342C">
        <w:rPr>
          <w:rFonts w:ascii="Arial" w:hAnsi="Arial" w:cs="Arial"/>
          <w:sz w:val="16"/>
          <w:szCs w:val="16"/>
        </w:rPr>
        <w:t>facilmente assimilabili ai disoccupati che agli inattivi</w:t>
      </w:r>
      <w:r w:rsidRPr="00A1342C">
        <w:rPr>
          <w:rFonts w:ascii="Arial" w:hAnsi="Arial" w:cs="Arial"/>
          <w:sz w:val="16"/>
          <w:szCs w:val="16"/>
        </w:rPr>
        <w:t>; i cassaintegrati equivalenti</w:t>
      </w:r>
      <w:r w:rsidR="00BB6C71" w:rsidRPr="00A1342C">
        <w:rPr>
          <w:rFonts w:ascii="Arial" w:hAnsi="Arial" w:cs="Arial"/>
          <w:sz w:val="16"/>
          <w:szCs w:val="16"/>
        </w:rPr>
        <w:t>, invece,</w:t>
      </w:r>
      <w:r w:rsidRPr="00A1342C">
        <w:rPr>
          <w:rFonts w:ascii="Arial" w:hAnsi="Arial" w:cs="Arial"/>
          <w:sz w:val="16"/>
          <w:szCs w:val="16"/>
        </w:rPr>
        <w:t xml:space="preserve"> non compaiono al </w:t>
      </w:r>
      <w:r w:rsidR="00BB6C71" w:rsidRPr="00A1342C">
        <w:rPr>
          <w:rFonts w:ascii="Arial" w:hAnsi="Arial" w:cs="Arial"/>
          <w:sz w:val="16"/>
          <w:szCs w:val="16"/>
        </w:rPr>
        <w:t>denomina</w:t>
      </w:r>
      <w:r w:rsidRPr="00A1342C">
        <w:rPr>
          <w:rFonts w:ascii="Arial" w:hAnsi="Arial" w:cs="Arial"/>
          <w:sz w:val="16"/>
          <w:szCs w:val="16"/>
        </w:rPr>
        <w:t>tore perché già</w:t>
      </w:r>
      <w:r w:rsidR="00BB6C71" w:rsidRPr="00A1342C">
        <w:rPr>
          <w:rFonts w:ascii="Arial" w:hAnsi="Arial" w:cs="Arial"/>
          <w:sz w:val="16"/>
          <w:szCs w:val="16"/>
        </w:rPr>
        <w:t xml:space="preserve"> conteggiati</w:t>
      </w:r>
      <w:r w:rsidRPr="00A1342C">
        <w:rPr>
          <w:rFonts w:ascii="Arial" w:hAnsi="Arial" w:cs="Arial"/>
          <w:sz w:val="16"/>
          <w:szCs w:val="16"/>
        </w:rPr>
        <w:t xml:space="preserve"> </w:t>
      </w:r>
      <w:r w:rsidR="00BB6C71" w:rsidRPr="00A1342C">
        <w:rPr>
          <w:rFonts w:ascii="Arial" w:hAnsi="Arial" w:cs="Arial"/>
          <w:sz w:val="16"/>
          <w:szCs w:val="16"/>
        </w:rPr>
        <w:t>(</w:t>
      </w:r>
      <w:r w:rsidRPr="00A1342C">
        <w:rPr>
          <w:rFonts w:ascii="Arial" w:hAnsi="Arial" w:cs="Arial"/>
          <w:sz w:val="16"/>
          <w:szCs w:val="16"/>
        </w:rPr>
        <w:t>nella rilevazione dell’I</w:t>
      </w:r>
      <w:r w:rsidR="00283C4D" w:rsidRPr="00A1342C">
        <w:rPr>
          <w:rFonts w:ascii="Arial" w:hAnsi="Arial" w:cs="Arial"/>
          <w:sz w:val="16"/>
          <w:szCs w:val="16"/>
        </w:rPr>
        <w:t>STAT</w:t>
      </w:r>
      <w:r w:rsidRPr="00A1342C">
        <w:rPr>
          <w:rFonts w:ascii="Arial" w:hAnsi="Arial" w:cs="Arial"/>
          <w:sz w:val="16"/>
          <w:szCs w:val="16"/>
        </w:rPr>
        <w:t xml:space="preserve"> </w:t>
      </w:r>
      <w:r w:rsidR="00283C4D" w:rsidRPr="00A1342C">
        <w:rPr>
          <w:rFonts w:ascii="Arial" w:hAnsi="Arial" w:cs="Arial"/>
          <w:sz w:val="16"/>
          <w:szCs w:val="16"/>
        </w:rPr>
        <w:t xml:space="preserve">figurano </w:t>
      </w:r>
      <w:r w:rsidRPr="00A1342C">
        <w:rPr>
          <w:rFonts w:ascii="Arial" w:hAnsi="Arial" w:cs="Arial"/>
          <w:sz w:val="16"/>
          <w:szCs w:val="16"/>
        </w:rPr>
        <w:t>tra gli occupati</w:t>
      </w:r>
      <w:r w:rsidR="00BB6C71" w:rsidRPr="00A1342C">
        <w:rPr>
          <w:rFonts w:ascii="Arial" w:hAnsi="Arial" w:cs="Arial"/>
          <w:sz w:val="16"/>
          <w:szCs w:val="16"/>
        </w:rPr>
        <w:t>)</w:t>
      </w:r>
      <w:r w:rsidRPr="00A1342C">
        <w:rPr>
          <w:rFonts w:ascii="Arial" w:hAnsi="Arial" w:cs="Arial"/>
          <w:sz w:val="16"/>
          <w:szCs w:val="16"/>
        </w:rPr>
        <w:t xml:space="preserve">. </w:t>
      </w:r>
    </w:p>
    <w:p w:rsidR="0061766F" w:rsidRPr="00A1342C" w:rsidRDefault="0061766F" w:rsidP="00C33FF5">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Di seguito la descrizione delle singole variabili e le fonti:</w:t>
      </w:r>
    </w:p>
    <w:p w:rsidR="00017513" w:rsidRPr="00A1342C" w:rsidRDefault="00017513" w:rsidP="00017513">
      <w:pPr>
        <w:pStyle w:val="Paragrafoelenco1"/>
        <w:numPr>
          <w:ilvl w:val="0"/>
          <w:numId w:val="6"/>
        </w:numPr>
        <w:spacing w:after="0" w:line="288" w:lineRule="auto"/>
        <w:jc w:val="both"/>
        <w:rPr>
          <w:rFonts w:ascii="Arial" w:hAnsi="Arial" w:cs="Arial"/>
          <w:sz w:val="16"/>
          <w:szCs w:val="16"/>
        </w:rPr>
      </w:pPr>
      <w:r w:rsidRPr="00A1342C">
        <w:rPr>
          <w:rFonts w:ascii="Arial" w:hAnsi="Arial" w:cs="Arial"/>
          <w:sz w:val="16"/>
          <w:szCs w:val="16"/>
        </w:rPr>
        <w:t xml:space="preserve">Tasso di inflazione </w:t>
      </w:r>
      <w:r w:rsidR="007713AA" w:rsidRPr="00A1342C">
        <w:rPr>
          <w:rFonts w:ascii="Arial" w:hAnsi="Arial" w:cs="Arial"/>
          <w:sz w:val="16"/>
          <w:szCs w:val="16"/>
        </w:rPr>
        <w:t xml:space="preserve">dei prodotti </w:t>
      </w:r>
      <w:r w:rsidRPr="00A1342C">
        <w:rPr>
          <w:rFonts w:ascii="Arial" w:hAnsi="Arial" w:cs="Arial"/>
          <w:sz w:val="16"/>
          <w:szCs w:val="16"/>
        </w:rPr>
        <w:t>ad alta frequenza</w:t>
      </w:r>
      <w:r w:rsidR="007713AA" w:rsidRPr="00A1342C">
        <w:rPr>
          <w:rFonts w:ascii="Arial" w:hAnsi="Arial" w:cs="Arial"/>
          <w:sz w:val="16"/>
          <w:szCs w:val="16"/>
        </w:rPr>
        <w:t xml:space="preserve"> d’acquisto</w:t>
      </w:r>
      <w:r w:rsidRPr="00A1342C">
        <w:rPr>
          <w:rFonts w:ascii="Arial" w:hAnsi="Arial" w:cs="Arial"/>
          <w:sz w:val="16"/>
          <w:szCs w:val="16"/>
        </w:rPr>
        <w:t xml:space="preserve">: </w:t>
      </w:r>
      <w:r w:rsidR="007713AA" w:rsidRPr="00A1342C">
        <w:rPr>
          <w:rFonts w:ascii="Arial" w:hAnsi="Arial" w:cs="Arial"/>
          <w:sz w:val="16"/>
          <w:szCs w:val="16"/>
        </w:rPr>
        <w:t>dati mensili di fonte ISTAT, variazione tendenziale</w:t>
      </w:r>
      <w:r w:rsidRPr="00A1342C">
        <w:rPr>
          <w:rFonts w:ascii="Arial" w:hAnsi="Arial" w:cs="Arial"/>
          <w:sz w:val="16"/>
          <w:szCs w:val="16"/>
        </w:rPr>
        <w:t>;</w:t>
      </w:r>
    </w:p>
    <w:p w:rsidR="0061766F" w:rsidRPr="00A1342C" w:rsidRDefault="0061766F" w:rsidP="00C33FF5">
      <w:pPr>
        <w:pStyle w:val="Paragrafoelenco1"/>
        <w:numPr>
          <w:ilvl w:val="0"/>
          <w:numId w:val="6"/>
        </w:numPr>
        <w:spacing w:after="0" w:line="288" w:lineRule="auto"/>
        <w:jc w:val="both"/>
        <w:rPr>
          <w:rFonts w:ascii="Arial" w:hAnsi="Arial" w:cs="Arial"/>
          <w:sz w:val="16"/>
          <w:szCs w:val="16"/>
        </w:rPr>
      </w:pPr>
      <w:r w:rsidRPr="00A1342C">
        <w:rPr>
          <w:rFonts w:ascii="Arial" w:hAnsi="Arial" w:cs="Arial"/>
          <w:sz w:val="16"/>
          <w:szCs w:val="16"/>
        </w:rPr>
        <w:t>Tasso di disoccupazione, occupati e disoccupati: dati mensili d</w:t>
      </w:r>
      <w:r w:rsidR="009D3CE8" w:rsidRPr="00A1342C">
        <w:rPr>
          <w:rFonts w:ascii="Arial" w:hAnsi="Arial" w:cs="Arial"/>
          <w:sz w:val="16"/>
          <w:szCs w:val="16"/>
        </w:rPr>
        <w:t xml:space="preserve">estagionalizzati di fonte </w:t>
      </w:r>
      <w:r w:rsidR="00017513" w:rsidRPr="00A1342C">
        <w:rPr>
          <w:rFonts w:ascii="Arial" w:hAnsi="Arial" w:cs="Arial"/>
          <w:sz w:val="16"/>
          <w:szCs w:val="16"/>
        </w:rPr>
        <w:t>ISTAT</w:t>
      </w:r>
      <w:r w:rsidR="009D3CE8" w:rsidRPr="00A1342C">
        <w:rPr>
          <w:rFonts w:ascii="Arial" w:hAnsi="Arial" w:cs="Arial"/>
          <w:sz w:val="16"/>
          <w:szCs w:val="16"/>
        </w:rPr>
        <w:t>;</w:t>
      </w:r>
    </w:p>
    <w:p w:rsidR="0061766F" w:rsidRPr="00A1342C" w:rsidRDefault="0061766F" w:rsidP="00C33FF5">
      <w:pPr>
        <w:pStyle w:val="Paragrafoelenco1"/>
        <w:numPr>
          <w:ilvl w:val="0"/>
          <w:numId w:val="6"/>
        </w:numPr>
        <w:spacing w:after="0" w:line="288" w:lineRule="auto"/>
        <w:jc w:val="both"/>
        <w:rPr>
          <w:rFonts w:ascii="Arial" w:hAnsi="Arial" w:cs="Arial"/>
          <w:sz w:val="16"/>
          <w:szCs w:val="16"/>
        </w:rPr>
      </w:pPr>
      <w:r w:rsidRPr="00A1342C">
        <w:rPr>
          <w:rFonts w:ascii="Arial" w:hAnsi="Arial" w:cs="Arial"/>
          <w:sz w:val="16"/>
          <w:szCs w:val="16"/>
        </w:rPr>
        <w:t>Ore CIG: dati mensili INPS sulle ore di CIG effettivamente utilizzate (tiraggio, confronti omogenei</w:t>
      </w:r>
      <w:r w:rsidR="003D647F" w:rsidRPr="00A1342C">
        <w:rPr>
          <w:rFonts w:ascii="Arial" w:hAnsi="Arial" w:cs="Arial"/>
          <w:sz w:val="16"/>
          <w:szCs w:val="16"/>
        </w:rPr>
        <w:t>)</w:t>
      </w:r>
      <w:r w:rsidR="009D3CE8" w:rsidRPr="00A1342C">
        <w:rPr>
          <w:rFonts w:ascii="Arial" w:hAnsi="Arial" w:cs="Arial"/>
          <w:sz w:val="16"/>
          <w:szCs w:val="16"/>
        </w:rPr>
        <w:t>;</w:t>
      </w:r>
      <w:r w:rsidR="00AD0A88" w:rsidRPr="00A1342C">
        <w:rPr>
          <w:rFonts w:ascii="Arial" w:hAnsi="Arial" w:cs="Arial"/>
          <w:sz w:val="16"/>
          <w:szCs w:val="16"/>
        </w:rPr>
        <w:t xml:space="preserve"> tale stima costituisce un’approssimazione dal momento che </w:t>
      </w:r>
      <w:r w:rsidR="0022446D" w:rsidRPr="00A1342C">
        <w:rPr>
          <w:rFonts w:ascii="Arial" w:hAnsi="Arial" w:cs="Arial"/>
          <w:sz w:val="16"/>
          <w:szCs w:val="16"/>
        </w:rPr>
        <w:t>le comunicazioni delle aziende all’INPS non sono sempre contestuali al periodo di fruizione del sussidio da parte del lavoratore</w:t>
      </w:r>
      <w:r w:rsidR="00AD0A88" w:rsidRPr="00A1342C">
        <w:rPr>
          <w:rFonts w:ascii="Arial" w:hAnsi="Arial" w:cs="Arial"/>
          <w:sz w:val="16"/>
          <w:szCs w:val="16"/>
        </w:rPr>
        <w:t>;</w:t>
      </w:r>
    </w:p>
    <w:p w:rsidR="009D3CE8" w:rsidRPr="003D647F" w:rsidRDefault="0061766F" w:rsidP="009D3CE8">
      <w:pPr>
        <w:pStyle w:val="Paragrafoelenco1"/>
        <w:numPr>
          <w:ilvl w:val="0"/>
          <w:numId w:val="6"/>
        </w:numPr>
        <w:spacing w:after="0" w:line="288" w:lineRule="auto"/>
        <w:jc w:val="both"/>
        <w:rPr>
          <w:rFonts w:ascii="Arial" w:hAnsi="Arial" w:cs="Arial"/>
          <w:sz w:val="16"/>
          <w:szCs w:val="16"/>
        </w:rPr>
      </w:pPr>
      <w:r w:rsidRPr="003D647F">
        <w:rPr>
          <w:rFonts w:ascii="Arial" w:hAnsi="Arial" w:cs="Arial"/>
          <w:sz w:val="16"/>
          <w:szCs w:val="16"/>
        </w:rPr>
        <w:t>CIG: numero di CIG-teste, calcolate dividendo le Ore CIG</w:t>
      </w:r>
      <w:r w:rsidR="009D3CE8" w:rsidRPr="003D647F">
        <w:rPr>
          <w:rFonts w:ascii="Arial" w:hAnsi="Arial" w:cs="Arial"/>
          <w:sz w:val="16"/>
          <w:szCs w:val="16"/>
        </w:rPr>
        <w:t xml:space="preserve"> totali per 2000</w:t>
      </w:r>
      <w:r w:rsidR="00F24BEE" w:rsidRPr="003D647F">
        <w:rPr>
          <w:rFonts w:ascii="Arial" w:hAnsi="Arial" w:cs="Arial"/>
          <w:sz w:val="16"/>
          <w:szCs w:val="16"/>
        </w:rPr>
        <w:t xml:space="preserve"> ore annue (166,6 al mese)</w:t>
      </w:r>
      <w:r w:rsidR="009D3CE8" w:rsidRPr="003D647F">
        <w:rPr>
          <w:rFonts w:ascii="Arial" w:hAnsi="Arial" w:cs="Arial"/>
          <w:sz w:val="16"/>
          <w:szCs w:val="16"/>
        </w:rPr>
        <w:t xml:space="preserve">; </w:t>
      </w:r>
    </w:p>
    <w:p w:rsidR="0061766F" w:rsidRPr="003D647F" w:rsidRDefault="009D3CE8" w:rsidP="009D3CE8">
      <w:pPr>
        <w:pStyle w:val="Paragrafoelenco1"/>
        <w:numPr>
          <w:ilvl w:val="0"/>
          <w:numId w:val="6"/>
        </w:numPr>
        <w:spacing w:after="0" w:line="288" w:lineRule="auto"/>
        <w:jc w:val="both"/>
        <w:rPr>
          <w:rFonts w:ascii="Arial" w:hAnsi="Arial" w:cs="Arial"/>
          <w:sz w:val="16"/>
          <w:szCs w:val="16"/>
        </w:rPr>
      </w:pPr>
      <w:r w:rsidRPr="003D647F">
        <w:rPr>
          <w:rFonts w:ascii="Arial" w:hAnsi="Arial" w:cs="Arial"/>
          <w:sz w:val="16"/>
          <w:szCs w:val="16"/>
        </w:rPr>
        <w:t>F</w:t>
      </w:r>
      <w:r w:rsidR="0061766F" w:rsidRPr="003D647F">
        <w:rPr>
          <w:rFonts w:ascii="Arial" w:hAnsi="Arial" w:cs="Arial"/>
          <w:sz w:val="16"/>
          <w:szCs w:val="16"/>
        </w:rPr>
        <w:t xml:space="preserve">orze di lavoro potenziali: sottoinsieme delle persone che (1) si dichiarano in cerca di lavoro, (2) sono disponibili a lavorare nelle prossime due settimane e (3) anche se non lo hanno fatto nelle ultime quattro settimane, affermano di aver compiuto una o più azioni di ricerca da </w:t>
      </w:r>
      <w:smartTag w:uri="urn:schemas-microsoft-com:office:smarttags" w:element="metricconverter">
        <w:smartTagPr>
          <w:attr w:name="ProductID" w:val="2 a"/>
        </w:smartTagPr>
        <w:r w:rsidR="0061766F" w:rsidRPr="003D647F">
          <w:rPr>
            <w:rFonts w:ascii="Arial" w:hAnsi="Arial" w:cs="Arial"/>
            <w:sz w:val="16"/>
            <w:szCs w:val="16"/>
          </w:rPr>
          <w:t>2 a</w:t>
        </w:r>
      </w:smartTag>
      <w:r w:rsidR="0061766F" w:rsidRPr="003D647F">
        <w:rPr>
          <w:rFonts w:ascii="Arial" w:hAnsi="Arial" w:cs="Arial"/>
          <w:sz w:val="16"/>
          <w:szCs w:val="16"/>
        </w:rPr>
        <w:t xml:space="preserve"> 3 mesi pri</w:t>
      </w:r>
      <w:r w:rsidR="003D647F" w:rsidRPr="003D647F">
        <w:rPr>
          <w:rFonts w:ascii="Arial" w:hAnsi="Arial" w:cs="Arial"/>
          <w:sz w:val="16"/>
          <w:szCs w:val="16"/>
        </w:rPr>
        <w:t>ma dell’intervista</w:t>
      </w:r>
      <w:r w:rsidR="00F24BEE" w:rsidRPr="003D647F">
        <w:rPr>
          <w:rFonts w:ascii="Arial" w:hAnsi="Arial" w:cs="Arial"/>
          <w:sz w:val="16"/>
          <w:szCs w:val="16"/>
        </w:rPr>
        <w:t>.</w:t>
      </w:r>
      <w:r w:rsidR="003D647F" w:rsidRPr="003D647F">
        <w:rPr>
          <w:rFonts w:ascii="Arial" w:hAnsi="Arial" w:cs="Arial"/>
          <w:sz w:val="16"/>
          <w:szCs w:val="16"/>
        </w:rPr>
        <w:t xml:space="preserve"> I dati sulle forze lavoro potenziali, forniti dall’ISTAT su base trimestrale, sono stati </w:t>
      </w:r>
      <w:proofErr w:type="spellStart"/>
      <w:r w:rsidR="003D647F" w:rsidRPr="003D647F">
        <w:rPr>
          <w:rFonts w:ascii="Arial" w:hAnsi="Arial" w:cs="Arial"/>
          <w:sz w:val="16"/>
          <w:szCs w:val="16"/>
        </w:rPr>
        <w:t>mensilizzati</w:t>
      </w:r>
      <w:proofErr w:type="spellEnd"/>
      <w:r w:rsidR="003D647F" w:rsidRPr="003D647F">
        <w:rPr>
          <w:rFonts w:ascii="Arial" w:hAnsi="Arial" w:cs="Arial"/>
          <w:sz w:val="16"/>
          <w:szCs w:val="16"/>
        </w:rPr>
        <w:t>.</w:t>
      </w:r>
    </w:p>
    <w:p w:rsidR="003D647F" w:rsidRPr="003D647F" w:rsidRDefault="003D647F" w:rsidP="003D647F">
      <w:pPr>
        <w:pStyle w:val="Paragrafoelenco1"/>
        <w:spacing w:after="0" w:line="288" w:lineRule="auto"/>
        <w:ind w:left="1429"/>
        <w:jc w:val="both"/>
        <w:rPr>
          <w:rFonts w:ascii="Arial" w:hAnsi="Arial" w:cs="Arial"/>
          <w:sz w:val="16"/>
          <w:szCs w:val="16"/>
        </w:rPr>
      </w:pPr>
    </w:p>
    <w:p w:rsidR="003D647F" w:rsidRPr="003D647F" w:rsidRDefault="003D647F" w:rsidP="003D647F">
      <w:pPr>
        <w:pStyle w:val="Paragrafoelenco1"/>
        <w:spacing w:after="0" w:line="288" w:lineRule="auto"/>
        <w:jc w:val="both"/>
        <w:rPr>
          <w:rFonts w:ascii="Arial" w:hAnsi="Arial" w:cs="Arial"/>
          <w:sz w:val="16"/>
          <w:szCs w:val="16"/>
        </w:rPr>
      </w:pPr>
      <w:r w:rsidRPr="003D647F">
        <w:rPr>
          <w:rFonts w:ascii="Arial" w:hAnsi="Arial" w:cs="Arial"/>
          <w:b/>
          <w:sz w:val="16"/>
          <w:szCs w:val="16"/>
        </w:rPr>
        <w:t>Per il presente numero</w:t>
      </w:r>
    </w:p>
    <w:p w:rsidR="003D647F" w:rsidRPr="003D647F" w:rsidRDefault="003D647F" w:rsidP="003D647F">
      <w:pPr>
        <w:pStyle w:val="Paragrafoelenco1"/>
        <w:numPr>
          <w:ilvl w:val="0"/>
          <w:numId w:val="6"/>
        </w:numPr>
        <w:spacing w:after="0" w:line="288" w:lineRule="auto"/>
        <w:jc w:val="both"/>
        <w:rPr>
          <w:rFonts w:ascii="Arial" w:hAnsi="Arial" w:cs="Arial"/>
          <w:sz w:val="16"/>
          <w:szCs w:val="16"/>
        </w:rPr>
      </w:pPr>
      <w:r w:rsidRPr="003D647F">
        <w:rPr>
          <w:rFonts w:ascii="Arial" w:hAnsi="Arial" w:cs="Arial"/>
          <w:sz w:val="16"/>
          <w:szCs w:val="16"/>
        </w:rPr>
        <w:t xml:space="preserve">I dati sulle ore di CIG effettivamente utilizzate </w:t>
      </w:r>
      <w:r w:rsidR="00AD0A88">
        <w:rPr>
          <w:rFonts w:ascii="Arial" w:hAnsi="Arial" w:cs="Arial"/>
          <w:sz w:val="16"/>
          <w:szCs w:val="16"/>
        </w:rPr>
        <w:t xml:space="preserve">negli ultimi </w:t>
      </w:r>
      <w:r w:rsidR="00230BED">
        <w:rPr>
          <w:rFonts w:ascii="Arial" w:hAnsi="Arial" w:cs="Arial"/>
          <w:sz w:val="16"/>
          <w:szCs w:val="16"/>
        </w:rPr>
        <w:t>due</w:t>
      </w:r>
      <w:r w:rsidR="00AD0A88" w:rsidRPr="00AC4E51">
        <w:rPr>
          <w:rFonts w:ascii="Arial" w:hAnsi="Arial" w:cs="Arial"/>
          <w:sz w:val="16"/>
          <w:szCs w:val="16"/>
        </w:rPr>
        <w:t xml:space="preserve"> </w:t>
      </w:r>
      <w:r w:rsidR="00AD0A88">
        <w:rPr>
          <w:rFonts w:ascii="Arial" w:hAnsi="Arial" w:cs="Arial"/>
          <w:sz w:val="16"/>
          <w:szCs w:val="16"/>
        </w:rPr>
        <w:t>mesi</w:t>
      </w:r>
      <w:r w:rsidRPr="003D647F">
        <w:rPr>
          <w:rFonts w:ascii="Arial" w:hAnsi="Arial" w:cs="Arial"/>
          <w:sz w:val="16"/>
          <w:szCs w:val="16"/>
        </w:rPr>
        <w:t xml:space="preserve"> sono stimati moltiplicando le ore di CIG autorizzate per il coefficiente di tiraggio dell’ultimo mese disponibile (</w:t>
      </w:r>
      <w:r w:rsidR="00230BED">
        <w:rPr>
          <w:rFonts w:ascii="Arial" w:hAnsi="Arial" w:cs="Arial"/>
          <w:sz w:val="16"/>
          <w:szCs w:val="16"/>
        </w:rPr>
        <w:t>giugno</w:t>
      </w:r>
      <w:r w:rsidR="00AD0A88" w:rsidRPr="00AC4E51">
        <w:rPr>
          <w:rFonts w:ascii="Arial" w:hAnsi="Arial" w:cs="Arial"/>
          <w:sz w:val="16"/>
          <w:szCs w:val="16"/>
        </w:rPr>
        <w:t xml:space="preserve"> </w:t>
      </w:r>
      <w:r w:rsidR="00AD0A88">
        <w:rPr>
          <w:rFonts w:ascii="Arial" w:hAnsi="Arial" w:cs="Arial"/>
          <w:sz w:val="16"/>
          <w:szCs w:val="16"/>
        </w:rPr>
        <w:t>2013</w:t>
      </w:r>
      <w:r w:rsidRPr="003D647F">
        <w:rPr>
          <w:rFonts w:ascii="Arial" w:hAnsi="Arial" w:cs="Arial"/>
          <w:sz w:val="16"/>
          <w:szCs w:val="16"/>
        </w:rPr>
        <w:t>);</w:t>
      </w:r>
    </w:p>
    <w:p w:rsidR="003D647F" w:rsidRPr="003D647F" w:rsidRDefault="003D647F" w:rsidP="003D647F">
      <w:pPr>
        <w:pStyle w:val="Paragrafoelenco1"/>
        <w:numPr>
          <w:ilvl w:val="0"/>
          <w:numId w:val="6"/>
        </w:numPr>
        <w:spacing w:after="0" w:line="288" w:lineRule="auto"/>
        <w:jc w:val="both"/>
        <w:rPr>
          <w:rFonts w:ascii="Arial" w:hAnsi="Arial" w:cs="Arial"/>
          <w:sz w:val="16"/>
          <w:szCs w:val="16"/>
        </w:rPr>
      </w:pPr>
      <w:r w:rsidRPr="003D647F">
        <w:rPr>
          <w:rFonts w:ascii="Arial" w:hAnsi="Arial" w:cs="Arial"/>
          <w:sz w:val="16"/>
          <w:szCs w:val="16"/>
        </w:rPr>
        <w:t xml:space="preserve">I dati </w:t>
      </w:r>
      <w:r w:rsidR="00B6749E">
        <w:rPr>
          <w:rFonts w:ascii="Arial" w:hAnsi="Arial" w:cs="Arial"/>
          <w:sz w:val="16"/>
          <w:szCs w:val="16"/>
        </w:rPr>
        <w:t xml:space="preserve">sulle forze di lavoro potenziali </w:t>
      </w:r>
      <w:r w:rsidRPr="003D647F">
        <w:rPr>
          <w:rFonts w:ascii="Arial" w:hAnsi="Arial" w:cs="Arial"/>
          <w:sz w:val="16"/>
          <w:szCs w:val="16"/>
        </w:rPr>
        <w:t xml:space="preserve">per </w:t>
      </w:r>
      <w:r w:rsidR="009974AB">
        <w:rPr>
          <w:rFonts w:ascii="Arial" w:hAnsi="Arial" w:cs="Arial"/>
          <w:sz w:val="16"/>
          <w:szCs w:val="16"/>
        </w:rPr>
        <w:t xml:space="preserve">gli ultimi </w:t>
      </w:r>
      <w:r w:rsidR="00230BED">
        <w:rPr>
          <w:rFonts w:ascii="Arial" w:hAnsi="Arial" w:cs="Arial"/>
          <w:sz w:val="16"/>
          <w:szCs w:val="16"/>
        </w:rPr>
        <w:t>due</w:t>
      </w:r>
      <w:r w:rsidR="009974AB" w:rsidRPr="00AC4E51">
        <w:rPr>
          <w:rFonts w:ascii="Arial" w:hAnsi="Arial" w:cs="Arial"/>
          <w:sz w:val="16"/>
          <w:szCs w:val="16"/>
        </w:rPr>
        <w:t xml:space="preserve"> </w:t>
      </w:r>
      <w:r w:rsidR="009974AB">
        <w:rPr>
          <w:rFonts w:ascii="Arial" w:hAnsi="Arial" w:cs="Arial"/>
          <w:sz w:val="16"/>
          <w:szCs w:val="16"/>
        </w:rPr>
        <w:t xml:space="preserve">mesi </w:t>
      </w:r>
      <w:r w:rsidR="00AD0A88">
        <w:rPr>
          <w:rFonts w:ascii="Arial" w:hAnsi="Arial" w:cs="Arial"/>
          <w:sz w:val="16"/>
          <w:szCs w:val="16"/>
        </w:rPr>
        <w:t>del 2013</w:t>
      </w:r>
      <w:r w:rsidRPr="003D647F">
        <w:rPr>
          <w:rFonts w:ascii="Arial" w:hAnsi="Arial" w:cs="Arial"/>
          <w:sz w:val="16"/>
          <w:szCs w:val="16"/>
        </w:rPr>
        <w:t xml:space="preserve"> sono stimati applicando ai dati trimestrali un modello </w:t>
      </w:r>
      <w:proofErr w:type="spellStart"/>
      <w:r w:rsidRPr="003D647F">
        <w:rPr>
          <w:rFonts w:ascii="Arial" w:hAnsi="Arial" w:cs="Arial"/>
          <w:sz w:val="16"/>
          <w:szCs w:val="16"/>
        </w:rPr>
        <w:t>autoregressivo</w:t>
      </w:r>
      <w:proofErr w:type="spellEnd"/>
      <w:r w:rsidRPr="003D647F">
        <w:rPr>
          <w:rFonts w:ascii="Arial" w:hAnsi="Arial" w:cs="Arial"/>
          <w:sz w:val="16"/>
          <w:szCs w:val="16"/>
        </w:rPr>
        <w:t xml:space="preserve"> alle differenze prime che tenga conto delle ciclicità stagionali; la previsione è stata poi opportunamente </w:t>
      </w:r>
      <w:proofErr w:type="spellStart"/>
      <w:r w:rsidRPr="003D647F">
        <w:rPr>
          <w:rFonts w:ascii="Arial" w:hAnsi="Arial" w:cs="Arial"/>
          <w:sz w:val="16"/>
          <w:szCs w:val="16"/>
        </w:rPr>
        <w:t>mensilizzata</w:t>
      </w:r>
      <w:proofErr w:type="spellEnd"/>
      <w:r w:rsidRPr="003D647F">
        <w:rPr>
          <w:rFonts w:ascii="Arial" w:hAnsi="Arial" w:cs="Arial"/>
          <w:sz w:val="16"/>
          <w:szCs w:val="16"/>
        </w:rPr>
        <w:t>.</w:t>
      </w:r>
    </w:p>
    <w:p w:rsidR="00640849" w:rsidRPr="009D3CE8" w:rsidRDefault="00640849" w:rsidP="00640849">
      <w:pPr>
        <w:pStyle w:val="Paragrafoelenco1"/>
        <w:spacing w:after="0" w:line="24" w:lineRule="atLeast"/>
        <w:jc w:val="both"/>
        <w:rPr>
          <w:rFonts w:ascii="Arial" w:hAnsi="Arial" w:cs="Arial"/>
          <w:sz w:val="16"/>
          <w:szCs w:val="16"/>
        </w:rPr>
      </w:pPr>
    </w:p>
    <w:p w:rsidR="0061766F" w:rsidRDefault="0061766F" w:rsidP="00C3165A">
      <w:pPr>
        <w:pStyle w:val="Paragrafoelenco1"/>
        <w:spacing w:after="0" w:line="288" w:lineRule="auto"/>
        <w:ind w:left="0" w:firstLine="709"/>
        <w:jc w:val="both"/>
        <w:rPr>
          <w:rFonts w:ascii="Arial" w:hAnsi="Arial" w:cs="Arial"/>
          <w:b/>
          <w:sz w:val="16"/>
          <w:szCs w:val="16"/>
          <w:lang w:val="en-US"/>
        </w:rPr>
      </w:pPr>
      <w:proofErr w:type="spellStart"/>
      <w:r w:rsidRPr="009D3CE8">
        <w:rPr>
          <w:rFonts w:ascii="Arial" w:hAnsi="Arial" w:cs="Arial"/>
          <w:b/>
          <w:sz w:val="16"/>
          <w:szCs w:val="16"/>
          <w:lang w:val="en-US"/>
        </w:rPr>
        <w:t>Riferimenti</w:t>
      </w:r>
      <w:proofErr w:type="spellEnd"/>
    </w:p>
    <w:p w:rsidR="009D3CE8" w:rsidRPr="009D3CE8" w:rsidRDefault="009D3CE8" w:rsidP="00C3165A">
      <w:pPr>
        <w:pStyle w:val="Paragrafoelenco1"/>
        <w:spacing w:after="0" w:line="288" w:lineRule="auto"/>
        <w:ind w:left="0" w:firstLine="709"/>
        <w:jc w:val="both"/>
        <w:rPr>
          <w:rFonts w:ascii="Arial" w:hAnsi="Arial" w:cs="Arial"/>
          <w:b/>
          <w:sz w:val="16"/>
          <w:szCs w:val="16"/>
          <w:lang w:val="en-US"/>
        </w:rPr>
      </w:pPr>
    </w:p>
    <w:p w:rsidR="00640849" w:rsidRPr="009D3CE8" w:rsidRDefault="0061766F" w:rsidP="00C3165A">
      <w:pPr>
        <w:pStyle w:val="Paragrafoelenco1"/>
        <w:numPr>
          <w:ilvl w:val="0"/>
          <w:numId w:val="8"/>
        </w:numPr>
        <w:spacing w:after="0" w:line="288" w:lineRule="auto"/>
        <w:ind w:left="0"/>
        <w:jc w:val="both"/>
        <w:rPr>
          <w:rFonts w:ascii="Arial" w:hAnsi="Arial" w:cs="Arial"/>
          <w:sz w:val="16"/>
          <w:szCs w:val="16"/>
          <w:lang w:val="en-US"/>
        </w:rPr>
      </w:pPr>
      <w:proofErr w:type="spellStart"/>
      <w:r w:rsidRPr="009D3CE8">
        <w:rPr>
          <w:rFonts w:ascii="Arial" w:hAnsi="Arial" w:cs="Arial"/>
          <w:sz w:val="16"/>
          <w:szCs w:val="16"/>
          <w:lang w:val="en-US"/>
        </w:rPr>
        <w:t>Becchetti</w:t>
      </w:r>
      <w:proofErr w:type="spellEnd"/>
      <w:r w:rsidRPr="009D3CE8">
        <w:rPr>
          <w:rFonts w:ascii="Arial" w:hAnsi="Arial" w:cs="Arial"/>
          <w:sz w:val="16"/>
          <w:szCs w:val="16"/>
          <w:lang w:val="en-US"/>
        </w:rPr>
        <w:t xml:space="preserve"> L., Castriota S., </w:t>
      </w:r>
      <w:proofErr w:type="spellStart"/>
      <w:r w:rsidRPr="009D3CE8">
        <w:rPr>
          <w:rFonts w:ascii="Arial" w:hAnsi="Arial" w:cs="Arial"/>
          <w:sz w:val="16"/>
          <w:szCs w:val="16"/>
          <w:lang w:val="en-US"/>
        </w:rPr>
        <w:t>Giuntella</w:t>
      </w:r>
      <w:proofErr w:type="spellEnd"/>
      <w:r w:rsidRPr="009D3CE8">
        <w:rPr>
          <w:rFonts w:ascii="Arial" w:hAnsi="Arial" w:cs="Arial"/>
          <w:sz w:val="16"/>
          <w:szCs w:val="16"/>
          <w:lang w:val="en-US"/>
        </w:rPr>
        <w:t xml:space="preserve"> O. (2010), “The Effects of Age and Job Protection on the Welfare Costs of Inflation and Unemployment”, European Journal of Political Economy, Vol. 26, pp. 137-146.</w:t>
      </w:r>
      <w:r w:rsidR="00C3165A" w:rsidRPr="009D3CE8">
        <w:rPr>
          <w:rFonts w:ascii="Arial" w:hAnsi="Arial" w:cs="Arial"/>
          <w:sz w:val="16"/>
          <w:szCs w:val="16"/>
          <w:lang w:val="en-US"/>
        </w:rPr>
        <w:t xml:space="preserve"> </w:t>
      </w:r>
    </w:p>
    <w:p w:rsidR="00C3165A" w:rsidRPr="009D3CE8" w:rsidRDefault="00C3165A" w:rsidP="00C3165A">
      <w:pPr>
        <w:pStyle w:val="Paragrafoelenco1"/>
        <w:spacing w:after="0" w:line="288" w:lineRule="auto"/>
        <w:ind w:left="0"/>
        <w:jc w:val="both"/>
        <w:rPr>
          <w:rFonts w:ascii="Arial" w:hAnsi="Arial" w:cs="Arial"/>
          <w:sz w:val="16"/>
          <w:szCs w:val="16"/>
          <w:lang w:val="en-US"/>
        </w:rPr>
      </w:pPr>
    </w:p>
    <w:p w:rsidR="007D2276" w:rsidRPr="007D2276" w:rsidRDefault="0061766F" w:rsidP="007D2276">
      <w:pPr>
        <w:pStyle w:val="Paragrafoelenco1"/>
        <w:numPr>
          <w:ilvl w:val="0"/>
          <w:numId w:val="8"/>
        </w:numPr>
        <w:spacing w:after="0" w:line="288" w:lineRule="auto"/>
        <w:ind w:left="0"/>
        <w:jc w:val="both"/>
        <w:rPr>
          <w:rFonts w:ascii="Arial" w:hAnsi="Arial" w:cs="Arial"/>
          <w:sz w:val="16"/>
          <w:szCs w:val="16"/>
          <w:lang w:val="en-US"/>
        </w:rPr>
      </w:pPr>
      <w:r w:rsidRPr="007D2276">
        <w:rPr>
          <w:rFonts w:ascii="Arial" w:hAnsi="Arial" w:cs="Arial"/>
          <w:sz w:val="16"/>
          <w:szCs w:val="16"/>
          <w:lang w:val="en-US"/>
        </w:rPr>
        <w:t xml:space="preserve">Di </w:t>
      </w:r>
      <w:proofErr w:type="spellStart"/>
      <w:r w:rsidRPr="007D2276">
        <w:rPr>
          <w:rFonts w:ascii="Arial" w:hAnsi="Arial" w:cs="Arial"/>
          <w:sz w:val="16"/>
          <w:szCs w:val="16"/>
          <w:lang w:val="en-US"/>
        </w:rPr>
        <w:t>Tella</w:t>
      </w:r>
      <w:proofErr w:type="spellEnd"/>
      <w:r w:rsidRPr="007D2276">
        <w:rPr>
          <w:rFonts w:ascii="Arial" w:hAnsi="Arial" w:cs="Arial"/>
          <w:sz w:val="16"/>
          <w:szCs w:val="16"/>
          <w:lang w:val="en-US"/>
        </w:rPr>
        <w:t xml:space="preserve"> R., </w:t>
      </w:r>
      <w:proofErr w:type="spellStart"/>
      <w:r w:rsidRPr="007D2276">
        <w:rPr>
          <w:rFonts w:ascii="Arial" w:hAnsi="Arial" w:cs="Arial"/>
          <w:sz w:val="16"/>
          <w:szCs w:val="16"/>
          <w:lang w:val="en-US"/>
        </w:rPr>
        <w:t>MacCulloch</w:t>
      </w:r>
      <w:proofErr w:type="spellEnd"/>
      <w:r w:rsidRPr="007D2276">
        <w:rPr>
          <w:rFonts w:ascii="Arial" w:hAnsi="Arial" w:cs="Arial"/>
          <w:sz w:val="16"/>
          <w:szCs w:val="16"/>
          <w:lang w:val="en-US"/>
        </w:rPr>
        <w:t xml:space="preserve"> R., Oswald A. (2001), “Preferences over Inflation and Unemployment: Evidence from Surveys of Happiness”, American Economic Review, Vol. 91, pp. 335-341.</w:t>
      </w:r>
    </w:p>
    <w:sectPr w:rsidR="007D2276" w:rsidRPr="007D2276" w:rsidSect="00F50828">
      <w:headerReference w:type="default" r:id="rId10"/>
      <w:footerReference w:type="default" r:id="rId11"/>
      <w:pgSz w:w="11906" w:h="16838" w:code="9"/>
      <w:pgMar w:top="964" w:right="1134" w:bottom="964"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E72" w:rsidRDefault="00D70E72" w:rsidP="009E2AA9">
      <w:pPr>
        <w:spacing w:after="0" w:line="240" w:lineRule="auto"/>
      </w:pPr>
      <w:r>
        <w:separator/>
      </w:r>
    </w:p>
  </w:endnote>
  <w:endnote w:type="continuationSeparator" w:id="0">
    <w:p w:rsidR="00D70E72" w:rsidRDefault="00D70E72" w:rsidP="009E2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840964086"/>
      <w:docPartObj>
        <w:docPartGallery w:val="Page Numbers (Bottom of Page)"/>
        <w:docPartUnique/>
      </w:docPartObj>
    </w:sdtPr>
    <w:sdtEndPr/>
    <w:sdtContent>
      <w:p w:rsidR="009E2AA9" w:rsidRPr="00F820E5" w:rsidRDefault="009E2AA9" w:rsidP="009B6E3B">
        <w:pPr>
          <w:pStyle w:val="Pidipagina"/>
          <w:spacing w:before="240"/>
          <w:jc w:val="center"/>
          <w:rPr>
            <w:rFonts w:ascii="Arial" w:hAnsi="Arial" w:cs="Arial"/>
            <w:sz w:val="20"/>
          </w:rPr>
        </w:pPr>
        <w:r w:rsidRPr="009B6E3B">
          <w:rPr>
            <w:rFonts w:ascii="Arial" w:hAnsi="Arial" w:cs="Arial"/>
            <w:sz w:val="20"/>
          </w:rPr>
          <w:fldChar w:fldCharType="begin"/>
        </w:r>
        <w:r w:rsidRPr="009B6E3B">
          <w:rPr>
            <w:rFonts w:ascii="Arial" w:hAnsi="Arial" w:cs="Arial"/>
            <w:sz w:val="20"/>
          </w:rPr>
          <w:instrText>PAGE   \* MERGEFORMAT</w:instrText>
        </w:r>
        <w:r w:rsidRPr="009B6E3B">
          <w:rPr>
            <w:rFonts w:ascii="Arial" w:hAnsi="Arial" w:cs="Arial"/>
            <w:sz w:val="20"/>
          </w:rPr>
          <w:fldChar w:fldCharType="separate"/>
        </w:r>
        <w:r w:rsidR="00F122B0">
          <w:rPr>
            <w:rFonts w:ascii="Arial" w:hAnsi="Arial" w:cs="Arial"/>
            <w:noProof/>
            <w:sz w:val="20"/>
          </w:rPr>
          <w:t>1</w:t>
        </w:r>
        <w:r w:rsidRPr="009B6E3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E72" w:rsidRDefault="00D70E72" w:rsidP="009E2AA9">
      <w:pPr>
        <w:spacing w:after="0" w:line="240" w:lineRule="auto"/>
      </w:pPr>
      <w:r>
        <w:separator/>
      </w:r>
    </w:p>
  </w:footnote>
  <w:footnote w:type="continuationSeparator" w:id="0">
    <w:p w:rsidR="00D70E72" w:rsidRDefault="00D70E72" w:rsidP="009E2AA9">
      <w:pPr>
        <w:spacing w:after="0" w:line="240" w:lineRule="auto"/>
      </w:pPr>
      <w:r>
        <w:continuationSeparator/>
      </w:r>
    </w:p>
  </w:footnote>
  <w:footnote w:id="1">
    <w:p w:rsidR="00FE5103" w:rsidRPr="00F820E5" w:rsidRDefault="00FE5103" w:rsidP="00FE5103">
      <w:pPr>
        <w:pStyle w:val="Testonotaapidipagina"/>
        <w:jc w:val="both"/>
        <w:rPr>
          <w:rFonts w:ascii="Arial" w:hAnsi="Arial" w:cs="Arial"/>
          <w:sz w:val="18"/>
        </w:rPr>
      </w:pPr>
      <w:r w:rsidRPr="00F820E5">
        <w:rPr>
          <w:rStyle w:val="Rimandonotaapidipagina"/>
          <w:rFonts w:ascii="Arial" w:hAnsi="Arial" w:cs="Arial"/>
          <w:sz w:val="18"/>
        </w:rPr>
        <w:footnoteRef/>
      </w:r>
      <w:r w:rsidRPr="00F820E5">
        <w:rPr>
          <w:rFonts w:ascii="Arial" w:hAnsi="Arial" w:cs="Arial"/>
          <w:sz w:val="18"/>
        </w:rPr>
        <w:t xml:space="preserve"> Il </w:t>
      </w:r>
      <w:proofErr w:type="spellStart"/>
      <w:r w:rsidRPr="00F820E5">
        <w:rPr>
          <w:rFonts w:ascii="Arial" w:hAnsi="Arial" w:cs="Arial"/>
          <w:sz w:val="18"/>
        </w:rPr>
        <w:t>Misery</w:t>
      </w:r>
      <w:proofErr w:type="spellEnd"/>
      <w:r w:rsidRPr="00F820E5">
        <w:rPr>
          <w:rFonts w:ascii="Arial" w:hAnsi="Arial" w:cs="Arial"/>
          <w:sz w:val="18"/>
        </w:rPr>
        <w:t xml:space="preserve"> Index Confcommercio (MIC) misura </w:t>
      </w:r>
      <w:r>
        <w:rPr>
          <w:rFonts w:ascii="Arial" w:hAnsi="Arial" w:cs="Arial"/>
          <w:sz w:val="18"/>
        </w:rPr>
        <w:t xml:space="preserve">mensilmente </w:t>
      </w:r>
      <w:r w:rsidRPr="00F820E5">
        <w:rPr>
          <w:rFonts w:ascii="Arial" w:hAnsi="Arial" w:cs="Arial"/>
          <w:sz w:val="18"/>
        </w:rPr>
        <w:t>il disagio sociale causato dalla disoccupazione e</w:t>
      </w:r>
      <w:r>
        <w:rPr>
          <w:rFonts w:ascii="Arial" w:hAnsi="Arial" w:cs="Arial"/>
          <w:sz w:val="18"/>
        </w:rPr>
        <w:t>stesa</w:t>
      </w:r>
      <w:r w:rsidRPr="00F820E5">
        <w:rPr>
          <w:rFonts w:ascii="Arial" w:hAnsi="Arial" w:cs="Arial"/>
          <w:sz w:val="18"/>
        </w:rPr>
        <w:t xml:space="preserve"> </w:t>
      </w:r>
      <w:r>
        <w:rPr>
          <w:rFonts w:ascii="Arial" w:hAnsi="Arial" w:cs="Arial"/>
          <w:sz w:val="18"/>
        </w:rPr>
        <w:t xml:space="preserve">(disoccupati, cassaintegrati e scoraggiati) e </w:t>
      </w:r>
      <w:r w:rsidRPr="00F820E5">
        <w:rPr>
          <w:rFonts w:ascii="Arial" w:hAnsi="Arial" w:cs="Arial"/>
          <w:sz w:val="18"/>
        </w:rPr>
        <w:t>dalla variazione percentuale dei prezzi dei be</w:t>
      </w:r>
      <w:r>
        <w:rPr>
          <w:rFonts w:ascii="Arial" w:hAnsi="Arial" w:cs="Arial"/>
          <w:sz w:val="18"/>
        </w:rPr>
        <w:t>ni e servizi ad alta frequenza d’acquisto</w:t>
      </w:r>
      <w:r w:rsidRPr="00F820E5">
        <w:rPr>
          <w:rFonts w:ascii="Arial" w:hAnsi="Arial" w:cs="Arial"/>
          <w:sz w:val="18"/>
        </w:rPr>
        <w:t>.</w:t>
      </w:r>
    </w:p>
  </w:footnote>
  <w:footnote w:id="2">
    <w:p w:rsidR="00AD0A88" w:rsidRPr="00AD0A88" w:rsidRDefault="00AD0A88" w:rsidP="00956C16">
      <w:pPr>
        <w:pStyle w:val="Testonotaapidipagina"/>
        <w:jc w:val="both"/>
        <w:rPr>
          <w:rFonts w:ascii="Arial" w:hAnsi="Arial" w:cs="Arial"/>
          <w:sz w:val="18"/>
          <w:szCs w:val="18"/>
        </w:rPr>
      </w:pPr>
      <w:r>
        <w:rPr>
          <w:rStyle w:val="Rimandonotaapidipagina"/>
        </w:rPr>
        <w:footnoteRef/>
      </w:r>
      <w:r>
        <w:t xml:space="preserve"> </w:t>
      </w:r>
      <w:r w:rsidRPr="00AD0A88">
        <w:rPr>
          <w:rFonts w:ascii="Arial" w:hAnsi="Arial" w:cs="Arial"/>
          <w:sz w:val="18"/>
          <w:szCs w:val="18"/>
        </w:rPr>
        <w:t>Gli scoraggiati sono definiti come coloro che (1) si dichiarano in cerca di lavoro, (2) sono disponibili a lavorare nelle prossime due settimane e (3) anche se non lo hanno fatto nelle ultime quattro settimane, affermano di aver compiuto una o più azioni di ricerca da 2 a 3 mesi prima dell’intervista</w:t>
      </w:r>
      <w:r>
        <w:rPr>
          <w:rFonts w:ascii="Arial" w:hAnsi="Arial" w:cs="Arial"/>
          <w:sz w:val="18"/>
          <w:szCs w:val="18"/>
        </w:rPr>
        <w:t>.</w:t>
      </w:r>
    </w:p>
  </w:footnote>
  <w:footnote w:id="3">
    <w:p w:rsidR="003236BD" w:rsidRPr="00F820E5" w:rsidRDefault="003236BD" w:rsidP="003236BD">
      <w:pPr>
        <w:pStyle w:val="Testonotaapidipagina"/>
        <w:jc w:val="both"/>
        <w:rPr>
          <w:rFonts w:ascii="Arial" w:hAnsi="Arial" w:cs="Arial"/>
          <w:sz w:val="18"/>
        </w:rPr>
      </w:pPr>
      <w:r w:rsidRPr="00F820E5">
        <w:rPr>
          <w:rStyle w:val="Rimandonotaapidipagina"/>
          <w:rFonts w:ascii="Arial" w:hAnsi="Arial" w:cs="Arial"/>
          <w:sz w:val="18"/>
        </w:rPr>
        <w:footnoteRef/>
      </w:r>
      <w:r w:rsidRPr="00F820E5">
        <w:rPr>
          <w:rFonts w:ascii="Arial" w:hAnsi="Arial" w:cs="Arial"/>
          <w:sz w:val="18"/>
        </w:rPr>
        <w:t xml:space="preserve"> Il </w:t>
      </w:r>
      <w:proofErr w:type="spellStart"/>
      <w:r w:rsidRPr="00F820E5">
        <w:rPr>
          <w:rFonts w:ascii="Arial" w:hAnsi="Arial" w:cs="Arial"/>
          <w:sz w:val="18"/>
        </w:rPr>
        <w:t>Misery</w:t>
      </w:r>
      <w:proofErr w:type="spellEnd"/>
      <w:r w:rsidRPr="00F820E5">
        <w:rPr>
          <w:rFonts w:ascii="Arial" w:hAnsi="Arial" w:cs="Arial"/>
          <w:sz w:val="18"/>
        </w:rPr>
        <w:t xml:space="preserve"> Index Confcommercio (MIC) misura </w:t>
      </w:r>
      <w:r>
        <w:rPr>
          <w:rFonts w:ascii="Arial" w:hAnsi="Arial" w:cs="Arial"/>
          <w:sz w:val="18"/>
        </w:rPr>
        <w:t xml:space="preserve">mensilmente </w:t>
      </w:r>
      <w:r w:rsidRPr="00F820E5">
        <w:rPr>
          <w:rFonts w:ascii="Arial" w:hAnsi="Arial" w:cs="Arial"/>
          <w:sz w:val="18"/>
        </w:rPr>
        <w:t>il disagio sociale causato dalla disoccupazione e</w:t>
      </w:r>
      <w:r>
        <w:rPr>
          <w:rFonts w:ascii="Arial" w:hAnsi="Arial" w:cs="Arial"/>
          <w:sz w:val="18"/>
        </w:rPr>
        <w:t>stesa</w:t>
      </w:r>
      <w:r w:rsidRPr="00F820E5">
        <w:rPr>
          <w:rFonts w:ascii="Arial" w:hAnsi="Arial" w:cs="Arial"/>
          <w:sz w:val="18"/>
        </w:rPr>
        <w:t xml:space="preserve"> </w:t>
      </w:r>
      <w:r>
        <w:rPr>
          <w:rFonts w:ascii="Arial" w:hAnsi="Arial" w:cs="Arial"/>
          <w:sz w:val="18"/>
        </w:rPr>
        <w:t xml:space="preserve">(disoccupati, cassaintegrati e scoraggiati) e </w:t>
      </w:r>
      <w:r w:rsidRPr="00F820E5">
        <w:rPr>
          <w:rFonts w:ascii="Arial" w:hAnsi="Arial" w:cs="Arial"/>
          <w:sz w:val="18"/>
        </w:rPr>
        <w:t>dalla variazione percentuale dei prezzi dei be</w:t>
      </w:r>
      <w:r>
        <w:rPr>
          <w:rFonts w:ascii="Arial" w:hAnsi="Arial" w:cs="Arial"/>
          <w:sz w:val="18"/>
        </w:rPr>
        <w:t>ni e servizi ad alta frequenza d’acquisto</w:t>
      </w:r>
      <w:r w:rsidRPr="00F820E5">
        <w:rPr>
          <w:rFonts w:ascii="Arial" w:hAnsi="Arial" w:cs="Arial"/>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FCE" w:rsidRDefault="00F122B0" w:rsidP="00402750">
    <w:pPr>
      <w:pStyle w:val="Intestazione"/>
      <w:pBdr>
        <w:between w:val="single" w:sz="4" w:space="1" w:color="4F81BD" w:themeColor="accent1"/>
      </w:pBdr>
      <w:spacing w:line="276" w:lineRule="auto"/>
      <w:jc w:val="center"/>
      <w:rPr>
        <w:rFonts w:ascii="Arial" w:hAnsi="Arial" w:cs="Arial"/>
        <w:sz w:val="20"/>
      </w:rPr>
    </w:pPr>
    <w:sdt>
      <w:sdtPr>
        <w:rPr>
          <w:rFonts w:ascii="Arial" w:hAnsi="Arial" w:cs="Arial"/>
          <w:sz w:val="20"/>
        </w:rPr>
        <w:alias w:val="Titolo"/>
        <w:id w:val="-1754575655"/>
        <w:placeholder>
          <w:docPart w:val="15818BEABED94125B5ADAD88822C5358"/>
        </w:placeholder>
        <w:dataBinding w:prefixMappings="xmlns:ns0='http://schemas.openxmlformats.org/package/2006/metadata/core-properties' xmlns:ns1='http://purl.org/dc/elements/1.1/'" w:xpath="/ns0:coreProperties[1]/ns1:title[1]" w:storeItemID="{6C3C8BC8-F283-45AE-878A-BAB7291924A1}"/>
        <w:text/>
      </w:sdtPr>
      <w:sdtEndPr/>
      <w:sdtContent>
        <w:r w:rsidR="0077087E">
          <w:rPr>
            <w:rFonts w:ascii="Arial" w:hAnsi="Arial" w:cs="Arial"/>
            <w:sz w:val="20"/>
          </w:rPr>
          <w:t>Settembre</w:t>
        </w:r>
        <w:r w:rsidR="00DB2FCE" w:rsidRPr="00DB2FCE">
          <w:rPr>
            <w:rFonts w:ascii="Arial" w:hAnsi="Arial" w:cs="Arial"/>
            <w:sz w:val="20"/>
          </w:rPr>
          <w:t xml:space="preserve"> 2013, n. </w:t>
        </w:r>
        <w:r w:rsidR="00F322AC">
          <w:rPr>
            <w:rFonts w:ascii="Arial" w:hAnsi="Arial" w:cs="Arial"/>
            <w:sz w:val="20"/>
          </w:rPr>
          <w:t>8</w:t>
        </w:r>
        <w:r w:rsidR="00DB2FCE" w:rsidRPr="00DB2FCE">
          <w:rPr>
            <w:rFonts w:ascii="Arial" w:hAnsi="Arial" w:cs="Arial"/>
            <w:sz w:val="20"/>
          </w:rPr>
          <w:t xml:space="preserve">                                     </w:t>
        </w:r>
        <w:r w:rsidR="00AE0CFF">
          <w:rPr>
            <w:rFonts w:ascii="Arial" w:hAnsi="Arial" w:cs="Arial"/>
            <w:sz w:val="20"/>
          </w:rPr>
          <w:t xml:space="preserve">                        </w:t>
        </w:r>
        <w:r w:rsidR="00DB2FCE" w:rsidRPr="00DB2FCE">
          <w:rPr>
            <w:rFonts w:ascii="Arial" w:hAnsi="Arial" w:cs="Arial"/>
            <w:sz w:val="20"/>
          </w:rPr>
          <w:t>Ufficio Studi Confcommercio</w:t>
        </w:r>
        <w:r w:rsidR="00F50828">
          <w:rPr>
            <w:rFonts w:ascii="Arial" w:hAnsi="Arial" w:cs="Arial"/>
            <w:sz w:val="20"/>
          </w:rPr>
          <w:t xml:space="preserve"> </w:t>
        </w:r>
        <w:r w:rsidR="00DB2FCE" w:rsidRPr="00DB2FCE">
          <w:rPr>
            <w:rFonts w:ascii="Arial" w:hAnsi="Arial" w:cs="Arial"/>
            <w:sz w:val="20"/>
          </w:rPr>
          <w:t>- Imprese per l’Italia</w:t>
        </w:r>
      </w:sdtContent>
    </w:sdt>
  </w:p>
  <w:p w:rsidR="009E5685" w:rsidRPr="009E5685" w:rsidRDefault="009E5685" w:rsidP="00402750">
    <w:pPr>
      <w:pStyle w:val="Intestazione"/>
      <w:pBdr>
        <w:between w:val="single" w:sz="4" w:space="1" w:color="4F81BD" w:themeColor="accent1"/>
      </w:pBdr>
      <w:spacing w:line="276" w:lineRule="auto"/>
      <w:jc w:val="cent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52B18"/>
    <w:multiLevelType w:val="hybridMultilevel"/>
    <w:tmpl w:val="037E34F4"/>
    <w:lvl w:ilvl="0" w:tplc="C32E4740">
      <w:start w:val="1"/>
      <w:numFmt w:val="decimal"/>
      <w:lvlText w:val="%1."/>
      <w:lvlJc w:val="left"/>
      <w:pPr>
        <w:ind w:left="1429" w:hanging="360"/>
      </w:pPr>
      <w:rPr>
        <w:b/>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
    <w:nsid w:val="1EE97BDF"/>
    <w:multiLevelType w:val="hybridMultilevel"/>
    <w:tmpl w:val="675A5D8E"/>
    <w:lvl w:ilvl="0" w:tplc="F5788B4C">
      <w:start w:val="20"/>
      <w:numFmt w:val="bullet"/>
      <w:lvlText w:val=""/>
      <w:lvlJc w:val="left"/>
      <w:pPr>
        <w:ind w:left="927" w:hanging="360"/>
      </w:pPr>
      <w:rPr>
        <w:rFonts w:ascii="Symbol" w:eastAsiaTheme="minorHAnsi" w:hAnsi="Symbo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nsid w:val="1F1F1D5C"/>
    <w:multiLevelType w:val="hybridMultilevel"/>
    <w:tmpl w:val="1AB051EC"/>
    <w:lvl w:ilvl="0" w:tplc="98D216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656D7C"/>
    <w:multiLevelType w:val="hybridMultilevel"/>
    <w:tmpl w:val="22F6B960"/>
    <w:lvl w:ilvl="0" w:tplc="0EA4109A">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BF62852"/>
    <w:multiLevelType w:val="hybridMultilevel"/>
    <w:tmpl w:val="974017C2"/>
    <w:lvl w:ilvl="0" w:tplc="EE9C919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2BFA4667"/>
    <w:multiLevelType w:val="hybridMultilevel"/>
    <w:tmpl w:val="639A7ECE"/>
    <w:lvl w:ilvl="0" w:tplc="56767434">
      <w:numFmt w:val="bullet"/>
      <w:lvlText w:val=""/>
      <w:lvlJc w:val="left"/>
      <w:pPr>
        <w:ind w:left="927" w:hanging="360"/>
      </w:pPr>
      <w:rPr>
        <w:rFonts w:ascii="Symbol" w:eastAsiaTheme="minorHAnsi" w:hAnsi="Symbol" w:cs="Arial" w:hint="default"/>
        <w:i/>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nsid w:val="41D30B58"/>
    <w:multiLevelType w:val="hybridMultilevel"/>
    <w:tmpl w:val="A2E245B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nsid w:val="4D212AA6"/>
    <w:multiLevelType w:val="hybridMultilevel"/>
    <w:tmpl w:val="D9ECD786"/>
    <w:lvl w:ilvl="0" w:tplc="C32E4740">
      <w:start w:val="1"/>
      <w:numFmt w:val="decimal"/>
      <w:lvlText w:val="%1."/>
      <w:lvlJc w:val="left"/>
      <w:pPr>
        <w:ind w:left="1429"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07C21C9"/>
    <w:multiLevelType w:val="hybridMultilevel"/>
    <w:tmpl w:val="C22C9596"/>
    <w:lvl w:ilvl="0" w:tplc="0EA4109A">
      <w:numFmt w:val="bullet"/>
      <w:lvlText w:val="-"/>
      <w:lvlJc w:val="left"/>
      <w:pPr>
        <w:ind w:left="1429" w:hanging="360"/>
      </w:pPr>
      <w:rPr>
        <w:rFonts w:ascii="Arial" w:eastAsia="Times New Roman" w:hAnsi="Arial" w:cs="Arial" w:hint="default"/>
        <w:b w:val="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75842D86"/>
    <w:multiLevelType w:val="hybridMultilevel"/>
    <w:tmpl w:val="51441E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6"/>
  </w:num>
  <w:num w:numId="6">
    <w:abstractNumId w:val="8"/>
  </w:num>
  <w:num w:numId="7">
    <w:abstractNumId w:val="0"/>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CE"/>
    <w:rsid w:val="00017513"/>
    <w:rsid w:val="000312F5"/>
    <w:rsid w:val="000411EC"/>
    <w:rsid w:val="00055AF7"/>
    <w:rsid w:val="000630BB"/>
    <w:rsid w:val="00065DF9"/>
    <w:rsid w:val="00067EA9"/>
    <w:rsid w:val="00070E25"/>
    <w:rsid w:val="00080CB8"/>
    <w:rsid w:val="00081E30"/>
    <w:rsid w:val="000A1983"/>
    <w:rsid w:val="000A7412"/>
    <w:rsid w:val="000B468C"/>
    <w:rsid w:val="000C0B86"/>
    <w:rsid w:val="000D15D2"/>
    <w:rsid w:val="000D3060"/>
    <w:rsid w:val="000E110D"/>
    <w:rsid w:val="000E74BB"/>
    <w:rsid w:val="000F7472"/>
    <w:rsid w:val="00111B2F"/>
    <w:rsid w:val="00130EA2"/>
    <w:rsid w:val="00141D7E"/>
    <w:rsid w:val="001459C1"/>
    <w:rsid w:val="00151A25"/>
    <w:rsid w:val="001524D5"/>
    <w:rsid w:val="00163424"/>
    <w:rsid w:val="00167028"/>
    <w:rsid w:val="00184BA2"/>
    <w:rsid w:val="00197A70"/>
    <w:rsid w:val="001C3C8F"/>
    <w:rsid w:val="001D4987"/>
    <w:rsid w:val="001E0D21"/>
    <w:rsid w:val="001E1144"/>
    <w:rsid w:val="002038E3"/>
    <w:rsid w:val="002209CC"/>
    <w:rsid w:val="00222A01"/>
    <w:rsid w:val="0022446D"/>
    <w:rsid w:val="00230BED"/>
    <w:rsid w:val="00243CC6"/>
    <w:rsid w:val="00273DE8"/>
    <w:rsid w:val="002814FA"/>
    <w:rsid w:val="00283C4D"/>
    <w:rsid w:val="002935BC"/>
    <w:rsid w:val="002B3E90"/>
    <w:rsid w:val="002C5B50"/>
    <w:rsid w:val="002D0B05"/>
    <w:rsid w:val="002D70BB"/>
    <w:rsid w:val="002E1133"/>
    <w:rsid w:val="002E32D6"/>
    <w:rsid w:val="002F5129"/>
    <w:rsid w:val="002F7928"/>
    <w:rsid w:val="00312690"/>
    <w:rsid w:val="003236BD"/>
    <w:rsid w:val="00343855"/>
    <w:rsid w:val="00370B42"/>
    <w:rsid w:val="00370D97"/>
    <w:rsid w:val="00371BF6"/>
    <w:rsid w:val="0037486B"/>
    <w:rsid w:val="00386089"/>
    <w:rsid w:val="003A3042"/>
    <w:rsid w:val="003A4AF0"/>
    <w:rsid w:val="003C5BE8"/>
    <w:rsid w:val="003D647F"/>
    <w:rsid w:val="003E26B4"/>
    <w:rsid w:val="003F295F"/>
    <w:rsid w:val="003F36D6"/>
    <w:rsid w:val="003F50CF"/>
    <w:rsid w:val="003F6F68"/>
    <w:rsid w:val="00401D54"/>
    <w:rsid w:val="00402750"/>
    <w:rsid w:val="00405182"/>
    <w:rsid w:val="004160A8"/>
    <w:rsid w:val="00425DA3"/>
    <w:rsid w:val="004304BA"/>
    <w:rsid w:val="004327D0"/>
    <w:rsid w:val="00442AC3"/>
    <w:rsid w:val="004519E9"/>
    <w:rsid w:val="004547D3"/>
    <w:rsid w:val="004712EB"/>
    <w:rsid w:val="00481970"/>
    <w:rsid w:val="0048214B"/>
    <w:rsid w:val="00494AFF"/>
    <w:rsid w:val="004A06FC"/>
    <w:rsid w:val="004C07F2"/>
    <w:rsid w:val="004C2032"/>
    <w:rsid w:val="004C37C9"/>
    <w:rsid w:val="004E0222"/>
    <w:rsid w:val="004E248E"/>
    <w:rsid w:val="004F07C6"/>
    <w:rsid w:val="004F6AEC"/>
    <w:rsid w:val="00500DBC"/>
    <w:rsid w:val="00516CA6"/>
    <w:rsid w:val="00530BBF"/>
    <w:rsid w:val="00554044"/>
    <w:rsid w:val="00576A78"/>
    <w:rsid w:val="005B0161"/>
    <w:rsid w:val="005C1C11"/>
    <w:rsid w:val="005F06F8"/>
    <w:rsid w:val="00614FE9"/>
    <w:rsid w:val="0061766F"/>
    <w:rsid w:val="0062550E"/>
    <w:rsid w:val="00640849"/>
    <w:rsid w:val="00643283"/>
    <w:rsid w:val="00661B78"/>
    <w:rsid w:val="00664AA0"/>
    <w:rsid w:val="00680BC4"/>
    <w:rsid w:val="006858C7"/>
    <w:rsid w:val="006A3306"/>
    <w:rsid w:val="006B510D"/>
    <w:rsid w:val="006E7155"/>
    <w:rsid w:val="0070644A"/>
    <w:rsid w:val="00723FCE"/>
    <w:rsid w:val="00724640"/>
    <w:rsid w:val="00730D13"/>
    <w:rsid w:val="00742646"/>
    <w:rsid w:val="00742E19"/>
    <w:rsid w:val="007506E2"/>
    <w:rsid w:val="00760144"/>
    <w:rsid w:val="0077087E"/>
    <w:rsid w:val="007713AA"/>
    <w:rsid w:val="0079138C"/>
    <w:rsid w:val="00791742"/>
    <w:rsid w:val="007A32AD"/>
    <w:rsid w:val="007A7105"/>
    <w:rsid w:val="007B7073"/>
    <w:rsid w:val="007D2276"/>
    <w:rsid w:val="007D33D4"/>
    <w:rsid w:val="007D6258"/>
    <w:rsid w:val="007D6730"/>
    <w:rsid w:val="007D752C"/>
    <w:rsid w:val="007E2E56"/>
    <w:rsid w:val="007F0CD3"/>
    <w:rsid w:val="00802EFF"/>
    <w:rsid w:val="00804C20"/>
    <w:rsid w:val="00804D16"/>
    <w:rsid w:val="00814AA7"/>
    <w:rsid w:val="00823AE3"/>
    <w:rsid w:val="00824D96"/>
    <w:rsid w:val="00825414"/>
    <w:rsid w:val="00825E9E"/>
    <w:rsid w:val="00851934"/>
    <w:rsid w:val="0087104A"/>
    <w:rsid w:val="00883AED"/>
    <w:rsid w:val="00891266"/>
    <w:rsid w:val="00896943"/>
    <w:rsid w:val="008A4979"/>
    <w:rsid w:val="008E42FB"/>
    <w:rsid w:val="008E5574"/>
    <w:rsid w:val="008E7FC7"/>
    <w:rsid w:val="008F7F81"/>
    <w:rsid w:val="00901CDB"/>
    <w:rsid w:val="009041FA"/>
    <w:rsid w:val="00907E33"/>
    <w:rsid w:val="00956C16"/>
    <w:rsid w:val="00994874"/>
    <w:rsid w:val="009974AB"/>
    <w:rsid w:val="00997A5C"/>
    <w:rsid w:val="009A0FEA"/>
    <w:rsid w:val="009B1DCC"/>
    <w:rsid w:val="009B27E2"/>
    <w:rsid w:val="009B68EE"/>
    <w:rsid w:val="009B6E3B"/>
    <w:rsid w:val="009C2EFE"/>
    <w:rsid w:val="009D249A"/>
    <w:rsid w:val="009D3CE8"/>
    <w:rsid w:val="009E23EE"/>
    <w:rsid w:val="009E2AA9"/>
    <w:rsid w:val="009E4D96"/>
    <w:rsid w:val="009E5685"/>
    <w:rsid w:val="00A01BD6"/>
    <w:rsid w:val="00A1342C"/>
    <w:rsid w:val="00A16FEC"/>
    <w:rsid w:val="00A43536"/>
    <w:rsid w:val="00A77ECC"/>
    <w:rsid w:val="00A855DF"/>
    <w:rsid w:val="00A901FB"/>
    <w:rsid w:val="00A911D3"/>
    <w:rsid w:val="00A9132D"/>
    <w:rsid w:val="00A91DB5"/>
    <w:rsid w:val="00AB30F5"/>
    <w:rsid w:val="00AB5FD9"/>
    <w:rsid w:val="00AC4E51"/>
    <w:rsid w:val="00AD0A88"/>
    <w:rsid w:val="00AD114B"/>
    <w:rsid w:val="00AE0CFF"/>
    <w:rsid w:val="00AF52E5"/>
    <w:rsid w:val="00B052E7"/>
    <w:rsid w:val="00B14852"/>
    <w:rsid w:val="00B25DC3"/>
    <w:rsid w:val="00B316A5"/>
    <w:rsid w:val="00B36B74"/>
    <w:rsid w:val="00B60F4C"/>
    <w:rsid w:val="00B63293"/>
    <w:rsid w:val="00B6749E"/>
    <w:rsid w:val="00B71B6F"/>
    <w:rsid w:val="00B769D1"/>
    <w:rsid w:val="00B80751"/>
    <w:rsid w:val="00B92957"/>
    <w:rsid w:val="00B9617D"/>
    <w:rsid w:val="00BA16DE"/>
    <w:rsid w:val="00BA4696"/>
    <w:rsid w:val="00BA7CA1"/>
    <w:rsid w:val="00BB6C71"/>
    <w:rsid w:val="00BC0751"/>
    <w:rsid w:val="00BD1679"/>
    <w:rsid w:val="00BE1F73"/>
    <w:rsid w:val="00BF4F80"/>
    <w:rsid w:val="00C07E30"/>
    <w:rsid w:val="00C229C6"/>
    <w:rsid w:val="00C3165A"/>
    <w:rsid w:val="00C33FF5"/>
    <w:rsid w:val="00C45350"/>
    <w:rsid w:val="00C7303C"/>
    <w:rsid w:val="00C75D8B"/>
    <w:rsid w:val="00C906D0"/>
    <w:rsid w:val="00CA265C"/>
    <w:rsid w:val="00CA63E4"/>
    <w:rsid w:val="00CA67E3"/>
    <w:rsid w:val="00CB280E"/>
    <w:rsid w:val="00CB50D9"/>
    <w:rsid w:val="00CB5625"/>
    <w:rsid w:val="00CC5526"/>
    <w:rsid w:val="00CE41BA"/>
    <w:rsid w:val="00D20FF3"/>
    <w:rsid w:val="00D70E5F"/>
    <w:rsid w:val="00D70E72"/>
    <w:rsid w:val="00D81E64"/>
    <w:rsid w:val="00D85468"/>
    <w:rsid w:val="00D86937"/>
    <w:rsid w:val="00D96379"/>
    <w:rsid w:val="00DB2FCE"/>
    <w:rsid w:val="00DB4AAE"/>
    <w:rsid w:val="00DB6DCD"/>
    <w:rsid w:val="00DB7CFD"/>
    <w:rsid w:val="00DC5787"/>
    <w:rsid w:val="00DD70EC"/>
    <w:rsid w:val="00DE624C"/>
    <w:rsid w:val="00DE6F17"/>
    <w:rsid w:val="00DF4992"/>
    <w:rsid w:val="00E162FE"/>
    <w:rsid w:val="00E43502"/>
    <w:rsid w:val="00E45B97"/>
    <w:rsid w:val="00E46AAB"/>
    <w:rsid w:val="00E56EA6"/>
    <w:rsid w:val="00E64EF8"/>
    <w:rsid w:val="00E67BEF"/>
    <w:rsid w:val="00E72169"/>
    <w:rsid w:val="00E87698"/>
    <w:rsid w:val="00EE120F"/>
    <w:rsid w:val="00EE5BAC"/>
    <w:rsid w:val="00EF49AC"/>
    <w:rsid w:val="00F01FE3"/>
    <w:rsid w:val="00F10FEE"/>
    <w:rsid w:val="00F122B0"/>
    <w:rsid w:val="00F16246"/>
    <w:rsid w:val="00F16819"/>
    <w:rsid w:val="00F24BEE"/>
    <w:rsid w:val="00F25DDE"/>
    <w:rsid w:val="00F26D9B"/>
    <w:rsid w:val="00F322AC"/>
    <w:rsid w:val="00F322C1"/>
    <w:rsid w:val="00F34ECC"/>
    <w:rsid w:val="00F43D2B"/>
    <w:rsid w:val="00F50828"/>
    <w:rsid w:val="00F518A9"/>
    <w:rsid w:val="00F543A1"/>
    <w:rsid w:val="00F62325"/>
    <w:rsid w:val="00F65482"/>
    <w:rsid w:val="00F820E5"/>
    <w:rsid w:val="00FA294D"/>
    <w:rsid w:val="00FB10C2"/>
    <w:rsid w:val="00FB3211"/>
    <w:rsid w:val="00FC5C5B"/>
    <w:rsid w:val="00FE5103"/>
    <w:rsid w:val="00FF3424"/>
    <w:rsid w:val="00FF47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3F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3FCE"/>
    <w:rPr>
      <w:rFonts w:ascii="Tahoma" w:hAnsi="Tahoma" w:cs="Tahoma"/>
      <w:sz w:val="16"/>
      <w:szCs w:val="16"/>
    </w:rPr>
  </w:style>
  <w:style w:type="paragraph" w:styleId="NormaleWeb">
    <w:name w:val="Normal (Web)"/>
    <w:basedOn w:val="Normale"/>
    <w:uiPriority w:val="99"/>
    <w:semiHidden/>
    <w:unhideWhenUsed/>
    <w:rsid w:val="00723FCE"/>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Paragrafoelenco">
    <w:name w:val="List Paragraph"/>
    <w:basedOn w:val="Normale"/>
    <w:uiPriority w:val="34"/>
    <w:qFormat/>
    <w:rsid w:val="00723FCE"/>
    <w:pPr>
      <w:ind w:left="720"/>
      <w:contextualSpacing/>
    </w:pPr>
  </w:style>
  <w:style w:type="paragraph" w:styleId="Intestazione">
    <w:name w:val="header"/>
    <w:basedOn w:val="Normale"/>
    <w:link w:val="IntestazioneCarattere"/>
    <w:uiPriority w:val="99"/>
    <w:unhideWhenUsed/>
    <w:rsid w:val="009E2A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2AA9"/>
  </w:style>
  <w:style w:type="paragraph" w:styleId="Pidipagina">
    <w:name w:val="footer"/>
    <w:basedOn w:val="Normale"/>
    <w:link w:val="PidipaginaCarattere"/>
    <w:uiPriority w:val="99"/>
    <w:unhideWhenUsed/>
    <w:rsid w:val="009E2A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2AA9"/>
  </w:style>
  <w:style w:type="paragraph" w:styleId="Corpotesto">
    <w:name w:val="Body Text"/>
    <w:basedOn w:val="Normale"/>
    <w:link w:val="CorpotestoCarattere"/>
    <w:semiHidden/>
    <w:rsid w:val="00994874"/>
    <w:pPr>
      <w:spacing w:after="0" w:line="240" w:lineRule="auto"/>
      <w:jc w:val="both"/>
    </w:pPr>
    <w:rPr>
      <w:rFonts w:ascii="Verdana" w:eastAsia="Times New Roman" w:hAnsi="Verdana" w:cs="Times New Roman"/>
      <w:sz w:val="20"/>
      <w:szCs w:val="24"/>
      <w:lang w:eastAsia="it-IT"/>
    </w:rPr>
  </w:style>
  <w:style w:type="character" w:customStyle="1" w:styleId="CorpotestoCarattere">
    <w:name w:val="Corpo testo Carattere"/>
    <w:basedOn w:val="Carpredefinitoparagrafo"/>
    <w:link w:val="Corpotesto"/>
    <w:semiHidden/>
    <w:rsid w:val="00994874"/>
    <w:rPr>
      <w:rFonts w:ascii="Verdana" w:eastAsia="Times New Roman" w:hAnsi="Verdana" w:cs="Times New Roman"/>
      <w:sz w:val="20"/>
      <w:szCs w:val="24"/>
      <w:lang w:eastAsia="it-IT"/>
    </w:rPr>
  </w:style>
  <w:style w:type="paragraph" w:customStyle="1" w:styleId="Paragrafoelenco1">
    <w:name w:val="Paragrafo elenco1"/>
    <w:basedOn w:val="Normale"/>
    <w:rsid w:val="0061766F"/>
    <w:pPr>
      <w:ind w:left="720"/>
      <w:contextualSpacing/>
    </w:pPr>
    <w:rPr>
      <w:rFonts w:ascii="Calibri" w:eastAsia="Times New Roman" w:hAnsi="Calibri" w:cs="Times New Roman"/>
    </w:rPr>
  </w:style>
  <w:style w:type="paragraph" w:styleId="Testonotaapidipagina">
    <w:name w:val="footnote text"/>
    <w:basedOn w:val="Normale"/>
    <w:link w:val="TestonotaapidipaginaCarattere"/>
    <w:uiPriority w:val="99"/>
    <w:semiHidden/>
    <w:unhideWhenUsed/>
    <w:rsid w:val="00BC075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C0751"/>
    <w:rPr>
      <w:sz w:val="20"/>
      <w:szCs w:val="20"/>
    </w:rPr>
  </w:style>
  <w:style w:type="character" w:styleId="Rimandonotaapidipagina">
    <w:name w:val="footnote reference"/>
    <w:basedOn w:val="Carpredefinitoparagrafo"/>
    <w:uiPriority w:val="99"/>
    <w:semiHidden/>
    <w:unhideWhenUsed/>
    <w:rsid w:val="00BC07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3F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3FCE"/>
    <w:rPr>
      <w:rFonts w:ascii="Tahoma" w:hAnsi="Tahoma" w:cs="Tahoma"/>
      <w:sz w:val="16"/>
      <w:szCs w:val="16"/>
    </w:rPr>
  </w:style>
  <w:style w:type="paragraph" w:styleId="NormaleWeb">
    <w:name w:val="Normal (Web)"/>
    <w:basedOn w:val="Normale"/>
    <w:uiPriority w:val="99"/>
    <w:semiHidden/>
    <w:unhideWhenUsed/>
    <w:rsid w:val="00723FCE"/>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Paragrafoelenco">
    <w:name w:val="List Paragraph"/>
    <w:basedOn w:val="Normale"/>
    <w:uiPriority w:val="34"/>
    <w:qFormat/>
    <w:rsid w:val="00723FCE"/>
    <w:pPr>
      <w:ind w:left="720"/>
      <w:contextualSpacing/>
    </w:pPr>
  </w:style>
  <w:style w:type="paragraph" w:styleId="Intestazione">
    <w:name w:val="header"/>
    <w:basedOn w:val="Normale"/>
    <w:link w:val="IntestazioneCarattere"/>
    <w:uiPriority w:val="99"/>
    <w:unhideWhenUsed/>
    <w:rsid w:val="009E2A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2AA9"/>
  </w:style>
  <w:style w:type="paragraph" w:styleId="Pidipagina">
    <w:name w:val="footer"/>
    <w:basedOn w:val="Normale"/>
    <w:link w:val="PidipaginaCarattere"/>
    <w:uiPriority w:val="99"/>
    <w:unhideWhenUsed/>
    <w:rsid w:val="009E2A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2AA9"/>
  </w:style>
  <w:style w:type="paragraph" w:styleId="Corpotesto">
    <w:name w:val="Body Text"/>
    <w:basedOn w:val="Normale"/>
    <w:link w:val="CorpotestoCarattere"/>
    <w:semiHidden/>
    <w:rsid w:val="00994874"/>
    <w:pPr>
      <w:spacing w:after="0" w:line="240" w:lineRule="auto"/>
      <w:jc w:val="both"/>
    </w:pPr>
    <w:rPr>
      <w:rFonts w:ascii="Verdana" w:eastAsia="Times New Roman" w:hAnsi="Verdana" w:cs="Times New Roman"/>
      <w:sz w:val="20"/>
      <w:szCs w:val="24"/>
      <w:lang w:eastAsia="it-IT"/>
    </w:rPr>
  </w:style>
  <w:style w:type="character" w:customStyle="1" w:styleId="CorpotestoCarattere">
    <w:name w:val="Corpo testo Carattere"/>
    <w:basedOn w:val="Carpredefinitoparagrafo"/>
    <w:link w:val="Corpotesto"/>
    <w:semiHidden/>
    <w:rsid w:val="00994874"/>
    <w:rPr>
      <w:rFonts w:ascii="Verdana" w:eastAsia="Times New Roman" w:hAnsi="Verdana" w:cs="Times New Roman"/>
      <w:sz w:val="20"/>
      <w:szCs w:val="24"/>
      <w:lang w:eastAsia="it-IT"/>
    </w:rPr>
  </w:style>
  <w:style w:type="paragraph" w:customStyle="1" w:styleId="Paragrafoelenco1">
    <w:name w:val="Paragrafo elenco1"/>
    <w:basedOn w:val="Normale"/>
    <w:rsid w:val="0061766F"/>
    <w:pPr>
      <w:ind w:left="720"/>
      <w:contextualSpacing/>
    </w:pPr>
    <w:rPr>
      <w:rFonts w:ascii="Calibri" w:eastAsia="Times New Roman" w:hAnsi="Calibri" w:cs="Times New Roman"/>
    </w:rPr>
  </w:style>
  <w:style w:type="paragraph" w:styleId="Testonotaapidipagina">
    <w:name w:val="footnote text"/>
    <w:basedOn w:val="Normale"/>
    <w:link w:val="TestonotaapidipaginaCarattere"/>
    <w:uiPriority w:val="99"/>
    <w:semiHidden/>
    <w:unhideWhenUsed/>
    <w:rsid w:val="00BC075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C0751"/>
    <w:rPr>
      <w:sz w:val="20"/>
      <w:szCs w:val="20"/>
    </w:rPr>
  </w:style>
  <w:style w:type="character" w:styleId="Rimandonotaapidipagina">
    <w:name w:val="footnote reference"/>
    <w:basedOn w:val="Carpredefinitoparagrafo"/>
    <w:uiPriority w:val="99"/>
    <w:semiHidden/>
    <w:unhideWhenUsed/>
    <w:rsid w:val="00BC0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7625">
      <w:bodyDiv w:val="1"/>
      <w:marLeft w:val="0"/>
      <w:marRight w:val="0"/>
      <w:marTop w:val="0"/>
      <w:marBottom w:val="0"/>
      <w:divBdr>
        <w:top w:val="none" w:sz="0" w:space="0" w:color="auto"/>
        <w:left w:val="none" w:sz="0" w:space="0" w:color="auto"/>
        <w:bottom w:val="none" w:sz="0" w:space="0" w:color="auto"/>
        <w:right w:val="none" w:sz="0" w:space="0" w:color="auto"/>
      </w:divBdr>
    </w:div>
    <w:div w:id="191892200">
      <w:bodyDiv w:val="1"/>
      <w:marLeft w:val="0"/>
      <w:marRight w:val="0"/>
      <w:marTop w:val="0"/>
      <w:marBottom w:val="0"/>
      <w:divBdr>
        <w:top w:val="none" w:sz="0" w:space="0" w:color="auto"/>
        <w:left w:val="none" w:sz="0" w:space="0" w:color="auto"/>
        <w:bottom w:val="none" w:sz="0" w:space="0" w:color="auto"/>
        <w:right w:val="none" w:sz="0" w:space="0" w:color="auto"/>
      </w:divBdr>
    </w:div>
    <w:div w:id="219563015">
      <w:bodyDiv w:val="1"/>
      <w:marLeft w:val="0"/>
      <w:marRight w:val="0"/>
      <w:marTop w:val="0"/>
      <w:marBottom w:val="0"/>
      <w:divBdr>
        <w:top w:val="none" w:sz="0" w:space="0" w:color="auto"/>
        <w:left w:val="none" w:sz="0" w:space="0" w:color="auto"/>
        <w:bottom w:val="none" w:sz="0" w:space="0" w:color="auto"/>
        <w:right w:val="none" w:sz="0" w:space="0" w:color="auto"/>
      </w:divBdr>
    </w:div>
    <w:div w:id="389426853">
      <w:bodyDiv w:val="1"/>
      <w:marLeft w:val="0"/>
      <w:marRight w:val="0"/>
      <w:marTop w:val="0"/>
      <w:marBottom w:val="0"/>
      <w:divBdr>
        <w:top w:val="none" w:sz="0" w:space="0" w:color="auto"/>
        <w:left w:val="none" w:sz="0" w:space="0" w:color="auto"/>
        <w:bottom w:val="none" w:sz="0" w:space="0" w:color="auto"/>
        <w:right w:val="none" w:sz="0" w:space="0" w:color="auto"/>
      </w:divBdr>
    </w:div>
    <w:div w:id="587615569">
      <w:bodyDiv w:val="1"/>
      <w:marLeft w:val="0"/>
      <w:marRight w:val="0"/>
      <w:marTop w:val="0"/>
      <w:marBottom w:val="0"/>
      <w:divBdr>
        <w:top w:val="none" w:sz="0" w:space="0" w:color="auto"/>
        <w:left w:val="none" w:sz="0" w:space="0" w:color="auto"/>
        <w:bottom w:val="none" w:sz="0" w:space="0" w:color="auto"/>
        <w:right w:val="none" w:sz="0" w:space="0" w:color="auto"/>
      </w:divBdr>
    </w:div>
    <w:div w:id="653920832">
      <w:bodyDiv w:val="1"/>
      <w:marLeft w:val="0"/>
      <w:marRight w:val="0"/>
      <w:marTop w:val="0"/>
      <w:marBottom w:val="0"/>
      <w:divBdr>
        <w:top w:val="none" w:sz="0" w:space="0" w:color="auto"/>
        <w:left w:val="none" w:sz="0" w:space="0" w:color="auto"/>
        <w:bottom w:val="none" w:sz="0" w:space="0" w:color="auto"/>
        <w:right w:val="none" w:sz="0" w:space="0" w:color="auto"/>
      </w:divBdr>
    </w:div>
    <w:div w:id="857235800">
      <w:bodyDiv w:val="1"/>
      <w:marLeft w:val="0"/>
      <w:marRight w:val="0"/>
      <w:marTop w:val="0"/>
      <w:marBottom w:val="0"/>
      <w:divBdr>
        <w:top w:val="none" w:sz="0" w:space="0" w:color="auto"/>
        <w:left w:val="none" w:sz="0" w:space="0" w:color="auto"/>
        <w:bottom w:val="none" w:sz="0" w:space="0" w:color="auto"/>
        <w:right w:val="none" w:sz="0" w:space="0" w:color="auto"/>
      </w:divBdr>
    </w:div>
    <w:div w:id="885457674">
      <w:bodyDiv w:val="1"/>
      <w:marLeft w:val="0"/>
      <w:marRight w:val="0"/>
      <w:marTop w:val="0"/>
      <w:marBottom w:val="0"/>
      <w:divBdr>
        <w:top w:val="none" w:sz="0" w:space="0" w:color="auto"/>
        <w:left w:val="none" w:sz="0" w:space="0" w:color="auto"/>
        <w:bottom w:val="none" w:sz="0" w:space="0" w:color="auto"/>
        <w:right w:val="none" w:sz="0" w:space="0" w:color="auto"/>
      </w:divBdr>
    </w:div>
    <w:div w:id="1045061098">
      <w:bodyDiv w:val="1"/>
      <w:marLeft w:val="0"/>
      <w:marRight w:val="0"/>
      <w:marTop w:val="0"/>
      <w:marBottom w:val="0"/>
      <w:divBdr>
        <w:top w:val="none" w:sz="0" w:space="0" w:color="auto"/>
        <w:left w:val="none" w:sz="0" w:space="0" w:color="auto"/>
        <w:bottom w:val="none" w:sz="0" w:space="0" w:color="auto"/>
        <w:right w:val="none" w:sz="0" w:space="0" w:color="auto"/>
      </w:divBdr>
    </w:div>
    <w:div w:id="1095589853">
      <w:bodyDiv w:val="1"/>
      <w:marLeft w:val="0"/>
      <w:marRight w:val="0"/>
      <w:marTop w:val="0"/>
      <w:marBottom w:val="0"/>
      <w:divBdr>
        <w:top w:val="none" w:sz="0" w:space="0" w:color="auto"/>
        <w:left w:val="none" w:sz="0" w:space="0" w:color="auto"/>
        <w:bottom w:val="none" w:sz="0" w:space="0" w:color="auto"/>
        <w:right w:val="none" w:sz="0" w:space="0" w:color="auto"/>
      </w:divBdr>
    </w:div>
    <w:div w:id="1098990976">
      <w:bodyDiv w:val="1"/>
      <w:marLeft w:val="0"/>
      <w:marRight w:val="0"/>
      <w:marTop w:val="0"/>
      <w:marBottom w:val="0"/>
      <w:divBdr>
        <w:top w:val="none" w:sz="0" w:space="0" w:color="auto"/>
        <w:left w:val="none" w:sz="0" w:space="0" w:color="auto"/>
        <w:bottom w:val="none" w:sz="0" w:space="0" w:color="auto"/>
        <w:right w:val="none" w:sz="0" w:space="0" w:color="auto"/>
      </w:divBdr>
    </w:div>
    <w:div w:id="1125126012">
      <w:bodyDiv w:val="1"/>
      <w:marLeft w:val="0"/>
      <w:marRight w:val="0"/>
      <w:marTop w:val="0"/>
      <w:marBottom w:val="0"/>
      <w:divBdr>
        <w:top w:val="none" w:sz="0" w:space="0" w:color="auto"/>
        <w:left w:val="none" w:sz="0" w:space="0" w:color="auto"/>
        <w:bottom w:val="none" w:sz="0" w:space="0" w:color="auto"/>
        <w:right w:val="none" w:sz="0" w:space="0" w:color="auto"/>
      </w:divBdr>
    </w:div>
    <w:div w:id="1147743710">
      <w:bodyDiv w:val="1"/>
      <w:marLeft w:val="0"/>
      <w:marRight w:val="0"/>
      <w:marTop w:val="0"/>
      <w:marBottom w:val="0"/>
      <w:divBdr>
        <w:top w:val="none" w:sz="0" w:space="0" w:color="auto"/>
        <w:left w:val="none" w:sz="0" w:space="0" w:color="auto"/>
        <w:bottom w:val="none" w:sz="0" w:space="0" w:color="auto"/>
        <w:right w:val="none" w:sz="0" w:space="0" w:color="auto"/>
      </w:divBdr>
    </w:div>
    <w:div w:id="1208298948">
      <w:bodyDiv w:val="1"/>
      <w:marLeft w:val="0"/>
      <w:marRight w:val="0"/>
      <w:marTop w:val="0"/>
      <w:marBottom w:val="0"/>
      <w:divBdr>
        <w:top w:val="none" w:sz="0" w:space="0" w:color="auto"/>
        <w:left w:val="none" w:sz="0" w:space="0" w:color="auto"/>
        <w:bottom w:val="none" w:sz="0" w:space="0" w:color="auto"/>
        <w:right w:val="none" w:sz="0" w:space="0" w:color="auto"/>
      </w:divBdr>
    </w:div>
    <w:div w:id="1232353263">
      <w:bodyDiv w:val="1"/>
      <w:marLeft w:val="0"/>
      <w:marRight w:val="0"/>
      <w:marTop w:val="0"/>
      <w:marBottom w:val="0"/>
      <w:divBdr>
        <w:top w:val="none" w:sz="0" w:space="0" w:color="auto"/>
        <w:left w:val="none" w:sz="0" w:space="0" w:color="auto"/>
        <w:bottom w:val="none" w:sz="0" w:space="0" w:color="auto"/>
        <w:right w:val="none" w:sz="0" w:space="0" w:color="auto"/>
      </w:divBdr>
    </w:div>
    <w:div w:id="1300068817">
      <w:bodyDiv w:val="1"/>
      <w:marLeft w:val="0"/>
      <w:marRight w:val="0"/>
      <w:marTop w:val="0"/>
      <w:marBottom w:val="0"/>
      <w:divBdr>
        <w:top w:val="none" w:sz="0" w:space="0" w:color="auto"/>
        <w:left w:val="none" w:sz="0" w:space="0" w:color="auto"/>
        <w:bottom w:val="none" w:sz="0" w:space="0" w:color="auto"/>
        <w:right w:val="none" w:sz="0" w:space="0" w:color="auto"/>
      </w:divBdr>
    </w:div>
    <w:div w:id="1360156707">
      <w:bodyDiv w:val="1"/>
      <w:marLeft w:val="0"/>
      <w:marRight w:val="0"/>
      <w:marTop w:val="0"/>
      <w:marBottom w:val="0"/>
      <w:divBdr>
        <w:top w:val="none" w:sz="0" w:space="0" w:color="auto"/>
        <w:left w:val="none" w:sz="0" w:space="0" w:color="auto"/>
        <w:bottom w:val="none" w:sz="0" w:space="0" w:color="auto"/>
        <w:right w:val="none" w:sz="0" w:space="0" w:color="auto"/>
      </w:divBdr>
    </w:div>
    <w:div w:id="1564682433">
      <w:bodyDiv w:val="1"/>
      <w:marLeft w:val="0"/>
      <w:marRight w:val="0"/>
      <w:marTop w:val="0"/>
      <w:marBottom w:val="0"/>
      <w:divBdr>
        <w:top w:val="none" w:sz="0" w:space="0" w:color="auto"/>
        <w:left w:val="none" w:sz="0" w:space="0" w:color="auto"/>
        <w:bottom w:val="none" w:sz="0" w:space="0" w:color="auto"/>
        <w:right w:val="none" w:sz="0" w:space="0" w:color="auto"/>
      </w:divBdr>
    </w:div>
    <w:div w:id="1592540906">
      <w:bodyDiv w:val="1"/>
      <w:marLeft w:val="0"/>
      <w:marRight w:val="0"/>
      <w:marTop w:val="0"/>
      <w:marBottom w:val="0"/>
      <w:divBdr>
        <w:top w:val="none" w:sz="0" w:space="0" w:color="auto"/>
        <w:left w:val="none" w:sz="0" w:space="0" w:color="auto"/>
        <w:bottom w:val="none" w:sz="0" w:space="0" w:color="auto"/>
        <w:right w:val="none" w:sz="0" w:space="0" w:color="auto"/>
      </w:divBdr>
    </w:div>
    <w:div w:id="1642274415">
      <w:bodyDiv w:val="1"/>
      <w:marLeft w:val="0"/>
      <w:marRight w:val="0"/>
      <w:marTop w:val="0"/>
      <w:marBottom w:val="0"/>
      <w:divBdr>
        <w:top w:val="none" w:sz="0" w:space="0" w:color="auto"/>
        <w:left w:val="none" w:sz="0" w:space="0" w:color="auto"/>
        <w:bottom w:val="none" w:sz="0" w:space="0" w:color="auto"/>
        <w:right w:val="none" w:sz="0" w:space="0" w:color="auto"/>
      </w:divBdr>
    </w:div>
    <w:div w:id="1936328034">
      <w:bodyDiv w:val="1"/>
      <w:marLeft w:val="0"/>
      <w:marRight w:val="0"/>
      <w:marTop w:val="0"/>
      <w:marBottom w:val="0"/>
      <w:divBdr>
        <w:top w:val="none" w:sz="0" w:space="0" w:color="auto"/>
        <w:left w:val="none" w:sz="0" w:space="0" w:color="auto"/>
        <w:bottom w:val="none" w:sz="0" w:space="0" w:color="auto"/>
        <w:right w:val="none" w:sz="0" w:space="0" w:color="auto"/>
      </w:divBdr>
    </w:div>
    <w:div w:id="2022393443">
      <w:bodyDiv w:val="1"/>
      <w:marLeft w:val="0"/>
      <w:marRight w:val="0"/>
      <w:marTop w:val="0"/>
      <w:marBottom w:val="0"/>
      <w:divBdr>
        <w:top w:val="none" w:sz="0" w:space="0" w:color="auto"/>
        <w:left w:val="none" w:sz="0" w:space="0" w:color="auto"/>
        <w:bottom w:val="none" w:sz="0" w:space="0" w:color="auto"/>
        <w:right w:val="none" w:sz="0" w:space="0" w:color="auto"/>
      </w:divBdr>
    </w:div>
    <w:div w:id="2035616705">
      <w:bodyDiv w:val="1"/>
      <w:marLeft w:val="0"/>
      <w:marRight w:val="0"/>
      <w:marTop w:val="0"/>
      <w:marBottom w:val="0"/>
      <w:divBdr>
        <w:top w:val="none" w:sz="0" w:space="0" w:color="auto"/>
        <w:left w:val="none" w:sz="0" w:space="0" w:color="auto"/>
        <w:bottom w:val="none" w:sz="0" w:space="0" w:color="auto"/>
        <w:right w:val="none" w:sz="0" w:space="0" w:color="auto"/>
      </w:divBdr>
    </w:div>
    <w:div w:id="2038190715">
      <w:bodyDiv w:val="1"/>
      <w:marLeft w:val="0"/>
      <w:marRight w:val="0"/>
      <w:marTop w:val="0"/>
      <w:marBottom w:val="0"/>
      <w:divBdr>
        <w:top w:val="none" w:sz="0" w:space="0" w:color="auto"/>
        <w:left w:val="none" w:sz="0" w:space="0" w:color="auto"/>
        <w:bottom w:val="none" w:sz="0" w:space="0" w:color="auto"/>
        <w:right w:val="none" w:sz="0" w:space="0" w:color="auto"/>
      </w:divBdr>
    </w:div>
    <w:div w:id="208995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nas1\confcom\comune\studi\QPROCOM\MIC\Tabelle%20e%20figu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areaChart>
        <c:grouping val="stacked"/>
        <c:varyColors val="0"/>
        <c:ser>
          <c:idx val="0"/>
          <c:order val="0"/>
          <c:tx>
            <c:strRef>
              <c:f>'[Tabelle e figure.xlsx]Figura 1'!$E$1</c:f>
              <c:strCache>
                <c:ptCount val="1"/>
                <c:pt idx="0">
                  <c:v>MIC-DISOCC.</c:v>
                </c:pt>
              </c:strCache>
            </c:strRef>
          </c:tx>
          <c:cat>
            <c:strRef>
              <c:f>'[Tabelle e figure.xlsx]Figura 1'!$C$2:$C$82</c:f>
              <c:strCache>
                <c:ptCount val="81"/>
                <c:pt idx="0">
                  <c:v>2007-1</c:v>
                </c:pt>
                <c:pt idx="1">
                  <c:v>2007-2</c:v>
                </c:pt>
                <c:pt idx="2">
                  <c:v>2007-3</c:v>
                </c:pt>
                <c:pt idx="3">
                  <c:v>2007-4</c:v>
                </c:pt>
                <c:pt idx="4">
                  <c:v>2007-5</c:v>
                </c:pt>
                <c:pt idx="5">
                  <c:v>2007-6</c:v>
                </c:pt>
                <c:pt idx="6">
                  <c:v>2007-7</c:v>
                </c:pt>
                <c:pt idx="7">
                  <c:v>2007-8</c:v>
                </c:pt>
                <c:pt idx="8">
                  <c:v>2007-9</c:v>
                </c:pt>
                <c:pt idx="9">
                  <c:v>2007-10</c:v>
                </c:pt>
                <c:pt idx="10">
                  <c:v>2007-11</c:v>
                </c:pt>
                <c:pt idx="11">
                  <c:v>2007-12</c:v>
                </c:pt>
                <c:pt idx="12">
                  <c:v>2008-1</c:v>
                </c:pt>
                <c:pt idx="13">
                  <c:v>2008-2</c:v>
                </c:pt>
                <c:pt idx="14">
                  <c:v>2008-3</c:v>
                </c:pt>
                <c:pt idx="15">
                  <c:v>2008-4</c:v>
                </c:pt>
                <c:pt idx="16">
                  <c:v>2008-5</c:v>
                </c:pt>
                <c:pt idx="17">
                  <c:v>2008-6</c:v>
                </c:pt>
                <c:pt idx="18">
                  <c:v>2008-7</c:v>
                </c:pt>
                <c:pt idx="19">
                  <c:v>2008-8</c:v>
                </c:pt>
                <c:pt idx="20">
                  <c:v>2008-9</c:v>
                </c:pt>
                <c:pt idx="21">
                  <c:v>2008-10</c:v>
                </c:pt>
                <c:pt idx="22">
                  <c:v>2008-11</c:v>
                </c:pt>
                <c:pt idx="23">
                  <c:v>2008-12</c:v>
                </c:pt>
                <c:pt idx="24">
                  <c:v>2009-1</c:v>
                </c:pt>
                <c:pt idx="25">
                  <c:v>2009-2</c:v>
                </c:pt>
                <c:pt idx="26">
                  <c:v>2009-3</c:v>
                </c:pt>
                <c:pt idx="27">
                  <c:v>2009-4</c:v>
                </c:pt>
                <c:pt idx="28">
                  <c:v>2009-5</c:v>
                </c:pt>
                <c:pt idx="29">
                  <c:v>2009-6</c:v>
                </c:pt>
                <c:pt idx="30">
                  <c:v>2009-7</c:v>
                </c:pt>
                <c:pt idx="31">
                  <c:v>2009-8</c:v>
                </c:pt>
                <c:pt idx="32">
                  <c:v>2009-9</c:v>
                </c:pt>
                <c:pt idx="33">
                  <c:v>2009-10</c:v>
                </c:pt>
                <c:pt idx="34">
                  <c:v>2009-11</c:v>
                </c:pt>
                <c:pt idx="35">
                  <c:v>2009-12</c:v>
                </c:pt>
                <c:pt idx="36">
                  <c:v>2010-1</c:v>
                </c:pt>
                <c:pt idx="37">
                  <c:v>2010-2</c:v>
                </c:pt>
                <c:pt idx="38">
                  <c:v>2010-3</c:v>
                </c:pt>
                <c:pt idx="39">
                  <c:v>2010-4</c:v>
                </c:pt>
                <c:pt idx="40">
                  <c:v>2010-5</c:v>
                </c:pt>
                <c:pt idx="41">
                  <c:v>2010-6</c:v>
                </c:pt>
                <c:pt idx="42">
                  <c:v>2010-7</c:v>
                </c:pt>
                <c:pt idx="43">
                  <c:v>2010-8</c:v>
                </c:pt>
                <c:pt idx="44">
                  <c:v>2010-9</c:v>
                </c:pt>
                <c:pt idx="45">
                  <c:v>2010-10</c:v>
                </c:pt>
                <c:pt idx="46">
                  <c:v>2010-11</c:v>
                </c:pt>
                <c:pt idx="47">
                  <c:v>2010-12</c:v>
                </c:pt>
                <c:pt idx="48">
                  <c:v>2011-1</c:v>
                </c:pt>
                <c:pt idx="49">
                  <c:v>2011-2</c:v>
                </c:pt>
                <c:pt idx="50">
                  <c:v>2011-3</c:v>
                </c:pt>
                <c:pt idx="51">
                  <c:v>2011-4</c:v>
                </c:pt>
                <c:pt idx="52">
                  <c:v>2011-5</c:v>
                </c:pt>
                <c:pt idx="53">
                  <c:v>2011-6</c:v>
                </c:pt>
                <c:pt idx="54">
                  <c:v>2011-7</c:v>
                </c:pt>
                <c:pt idx="55">
                  <c:v>2011-8</c:v>
                </c:pt>
                <c:pt idx="56">
                  <c:v>2011-9</c:v>
                </c:pt>
                <c:pt idx="57">
                  <c:v>2011-10</c:v>
                </c:pt>
                <c:pt idx="58">
                  <c:v>2011-11</c:v>
                </c:pt>
                <c:pt idx="59">
                  <c:v>2011-12</c:v>
                </c:pt>
                <c:pt idx="60">
                  <c:v>2012-1</c:v>
                </c:pt>
                <c:pt idx="61">
                  <c:v>2012-2</c:v>
                </c:pt>
                <c:pt idx="62">
                  <c:v>2012-3</c:v>
                </c:pt>
                <c:pt idx="63">
                  <c:v>2012-4</c:v>
                </c:pt>
                <c:pt idx="64">
                  <c:v>2012-5</c:v>
                </c:pt>
                <c:pt idx="65">
                  <c:v>2012-6</c:v>
                </c:pt>
                <c:pt idx="66">
                  <c:v>2012-7</c:v>
                </c:pt>
                <c:pt idx="67">
                  <c:v>2012-8</c:v>
                </c:pt>
                <c:pt idx="68">
                  <c:v>2012-9</c:v>
                </c:pt>
                <c:pt idx="69">
                  <c:v>2012-10</c:v>
                </c:pt>
                <c:pt idx="70">
                  <c:v>2012-11</c:v>
                </c:pt>
                <c:pt idx="71">
                  <c:v>2012-12</c:v>
                </c:pt>
                <c:pt idx="72">
                  <c:v>2013-1</c:v>
                </c:pt>
                <c:pt idx="73">
                  <c:v>2013-2</c:v>
                </c:pt>
                <c:pt idx="74">
                  <c:v>2013-3</c:v>
                </c:pt>
                <c:pt idx="75">
                  <c:v>2013-4</c:v>
                </c:pt>
                <c:pt idx="76">
                  <c:v>2013-5</c:v>
                </c:pt>
                <c:pt idx="77">
                  <c:v>2013-6</c:v>
                </c:pt>
                <c:pt idx="78">
                  <c:v>2013-7</c:v>
                </c:pt>
                <c:pt idx="79">
                  <c:v>2013-8</c:v>
                </c:pt>
                <c:pt idx="80">
                  <c:v>2013-9</c:v>
                </c:pt>
              </c:strCache>
            </c:strRef>
          </c:cat>
          <c:val>
            <c:numRef>
              <c:f>'[Tabelle e figure.xlsx]Figura 1'!$E$2:$E$82</c:f>
              <c:numCache>
                <c:formatCode>0.00</c:formatCode>
                <c:ptCount val="81"/>
                <c:pt idx="0">
                  <c:v>9.7091346185877008</c:v>
                </c:pt>
                <c:pt idx="1">
                  <c:v>9.3885950412246295</c:v>
                </c:pt>
                <c:pt idx="2">
                  <c:v>9.517073082747503</c:v>
                </c:pt>
                <c:pt idx="3">
                  <c:v>9.3304102320896831</c:v>
                </c:pt>
                <c:pt idx="4">
                  <c:v>9.7277367031601933</c:v>
                </c:pt>
                <c:pt idx="5">
                  <c:v>9.6315537060301661</c:v>
                </c:pt>
                <c:pt idx="6">
                  <c:v>10.247688793193516</c:v>
                </c:pt>
                <c:pt idx="7">
                  <c:v>9.9784351185460327</c:v>
                </c:pt>
                <c:pt idx="8">
                  <c:v>10.397290975795201</c:v>
                </c:pt>
                <c:pt idx="9">
                  <c:v>10.423851184700187</c:v>
                </c:pt>
                <c:pt idx="10">
                  <c:v>10.158613738911908</c:v>
                </c:pt>
                <c:pt idx="11">
                  <c:v>10.448473226737171</c:v>
                </c:pt>
                <c:pt idx="12">
                  <c:v>10.332197654191498</c:v>
                </c:pt>
                <c:pt idx="13">
                  <c:v>10.514560927238614</c:v>
                </c:pt>
                <c:pt idx="14">
                  <c:v>10.325219366464149</c:v>
                </c:pt>
                <c:pt idx="15">
                  <c:v>10.846727782945273</c:v>
                </c:pt>
                <c:pt idx="16">
                  <c:v>10.844031309736542</c:v>
                </c:pt>
                <c:pt idx="17">
                  <c:v>11.067694472437315</c:v>
                </c:pt>
                <c:pt idx="18">
                  <c:v>11.035355455899705</c:v>
                </c:pt>
                <c:pt idx="19">
                  <c:v>11.272343431841453</c:v>
                </c:pt>
                <c:pt idx="20">
                  <c:v>11.485467004424992</c:v>
                </c:pt>
                <c:pt idx="21">
                  <c:v>11.429360987587991</c:v>
                </c:pt>
                <c:pt idx="22">
                  <c:v>11.57042543543594</c:v>
                </c:pt>
                <c:pt idx="23">
                  <c:v>11.282790189432731</c:v>
                </c:pt>
                <c:pt idx="24">
                  <c:v>11.695643404439966</c:v>
                </c:pt>
                <c:pt idx="25">
                  <c:v>12.068897143364531</c:v>
                </c:pt>
                <c:pt idx="26">
                  <c:v>12.746894645008041</c:v>
                </c:pt>
                <c:pt idx="27">
                  <c:v>13.02882014070212</c:v>
                </c:pt>
                <c:pt idx="28">
                  <c:v>13.221021948445458</c:v>
                </c:pt>
                <c:pt idx="29">
                  <c:v>13.489591822898261</c:v>
                </c:pt>
                <c:pt idx="30">
                  <c:v>14.099715113570902</c:v>
                </c:pt>
                <c:pt idx="31">
                  <c:v>13.600940972875025</c:v>
                </c:pt>
                <c:pt idx="32">
                  <c:v>14.999660878251174</c:v>
                </c:pt>
                <c:pt idx="33">
                  <c:v>14.521505941977855</c:v>
                </c:pt>
                <c:pt idx="34">
                  <c:v>14.689274362864184</c:v>
                </c:pt>
                <c:pt idx="35">
                  <c:v>14.648417197648778</c:v>
                </c:pt>
                <c:pt idx="36">
                  <c:v>14.415902349200437</c:v>
                </c:pt>
                <c:pt idx="37">
                  <c:v>14.827376970058422</c:v>
                </c:pt>
                <c:pt idx="38">
                  <c:v>14.97000462515563</c:v>
                </c:pt>
                <c:pt idx="39">
                  <c:v>14.997859840059331</c:v>
                </c:pt>
                <c:pt idx="40">
                  <c:v>14.953499146740381</c:v>
                </c:pt>
                <c:pt idx="41">
                  <c:v>14.450060008121195</c:v>
                </c:pt>
                <c:pt idx="42">
                  <c:v>14.699871944907498</c:v>
                </c:pt>
                <c:pt idx="43">
                  <c:v>14.369733811176154</c:v>
                </c:pt>
                <c:pt idx="44">
                  <c:v>14.900930198040678</c:v>
                </c:pt>
                <c:pt idx="45">
                  <c:v>15.033404542885258</c:v>
                </c:pt>
                <c:pt idx="46">
                  <c:v>14.372078205216438</c:v>
                </c:pt>
                <c:pt idx="47">
                  <c:v>14.086173884497031</c:v>
                </c:pt>
                <c:pt idx="48">
                  <c:v>13.634778455825046</c:v>
                </c:pt>
                <c:pt idx="49">
                  <c:v>13.740802053826803</c:v>
                </c:pt>
                <c:pt idx="50">
                  <c:v>14.022959735347605</c:v>
                </c:pt>
                <c:pt idx="51">
                  <c:v>13.73246818264243</c:v>
                </c:pt>
                <c:pt idx="52">
                  <c:v>14.236948730567981</c:v>
                </c:pt>
                <c:pt idx="53">
                  <c:v>13.827008417829434</c:v>
                </c:pt>
                <c:pt idx="54">
                  <c:v>14.509370764451891</c:v>
                </c:pt>
                <c:pt idx="55">
                  <c:v>14.467515454992553</c:v>
                </c:pt>
                <c:pt idx="56">
                  <c:v>15.703131245445658</c:v>
                </c:pt>
                <c:pt idx="57">
                  <c:v>15.444615577977265</c:v>
                </c:pt>
                <c:pt idx="58">
                  <c:v>15.942412017166053</c:v>
                </c:pt>
                <c:pt idx="59">
                  <c:v>15.901369809410536</c:v>
                </c:pt>
                <c:pt idx="60">
                  <c:v>15.864804168882934</c:v>
                </c:pt>
                <c:pt idx="61">
                  <c:v>16.752465345205611</c:v>
                </c:pt>
                <c:pt idx="62">
                  <c:v>17.499214233967773</c:v>
                </c:pt>
                <c:pt idx="63">
                  <c:v>17.570593149462052</c:v>
                </c:pt>
                <c:pt idx="64">
                  <c:v>17.498663627574597</c:v>
                </c:pt>
                <c:pt idx="65">
                  <c:v>17.73321389108111</c:v>
                </c:pt>
                <c:pt idx="66">
                  <c:v>18.04612302835951</c:v>
                </c:pt>
                <c:pt idx="67">
                  <c:v>17.586179673717208</c:v>
                </c:pt>
                <c:pt idx="68">
                  <c:v>18.244459701218585</c:v>
                </c:pt>
                <c:pt idx="69">
                  <c:v>18.596005884251124</c:v>
                </c:pt>
                <c:pt idx="70">
                  <c:v>18.320100966576362</c:v>
                </c:pt>
                <c:pt idx="71">
                  <c:v>18.410946271636035</c:v>
                </c:pt>
                <c:pt idx="72">
                  <c:v>18.426992778925698</c:v>
                </c:pt>
                <c:pt idx="73">
                  <c:v>19.30116645345425</c:v>
                </c:pt>
                <c:pt idx="74">
                  <c:v>19.295250824057774</c:v>
                </c:pt>
                <c:pt idx="75">
                  <c:v>19.594943819818347</c:v>
                </c:pt>
                <c:pt idx="76">
                  <c:v>19.59266647135756</c:v>
                </c:pt>
                <c:pt idx="77">
                  <c:v>19.637616241605816</c:v>
                </c:pt>
                <c:pt idx="78">
                  <c:v>19.69941834171485</c:v>
                </c:pt>
                <c:pt idx="79">
                  <c:v>20.049051474606305</c:v>
                </c:pt>
                <c:pt idx="80">
                  <c:v>20.508786361940345</c:v>
                </c:pt>
              </c:numCache>
            </c:numRef>
          </c:val>
        </c:ser>
        <c:ser>
          <c:idx val="1"/>
          <c:order val="1"/>
          <c:tx>
            <c:strRef>
              <c:f>'[Tabelle e figure.xlsx]Figura 1'!$F$1</c:f>
              <c:strCache>
                <c:ptCount val="1"/>
                <c:pt idx="0">
                  <c:v>MIC-INFL. AF</c:v>
                </c:pt>
              </c:strCache>
            </c:strRef>
          </c:tx>
          <c:cat>
            <c:strRef>
              <c:f>'[Tabelle e figure.xlsx]Figura 1'!$C$2:$C$82</c:f>
              <c:strCache>
                <c:ptCount val="81"/>
                <c:pt idx="0">
                  <c:v>2007-1</c:v>
                </c:pt>
                <c:pt idx="1">
                  <c:v>2007-2</c:v>
                </c:pt>
                <c:pt idx="2">
                  <c:v>2007-3</c:v>
                </c:pt>
                <c:pt idx="3">
                  <c:v>2007-4</c:v>
                </c:pt>
                <c:pt idx="4">
                  <c:v>2007-5</c:v>
                </c:pt>
                <c:pt idx="5">
                  <c:v>2007-6</c:v>
                </c:pt>
                <c:pt idx="6">
                  <c:v>2007-7</c:v>
                </c:pt>
                <c:pt idx="7">
                  <c:v>2007-8</c:v>
                </c:pt>
                <c:pt idx="8">
                  <c:v>2007-9</c:v>
                </c:pt>
                <c:pt idx="9">
                  <c:v>2007-10</c:v>
                </c:pt>
                <c:pt idx="10">
                  <c:v>2007-11</c:v>
                </c:pt>
                <c:pt idx="11">
                  <c:v>2007-12</c:v>
                </c:pt>
                <c:pt idx="12">
                  <c:v>2008-1</c:v>
                </c:pt>
                <c:pt idx="13">
                  <c:v>2008-2</c:v>
                </c:pt>
                <c:pt idx="14">
                  <c:v>2008-3</c:v>
                </c:pt>
                <c:pt idx="15">
                  <c:v>2008-4</c:v>
                </c:pt>
                <c:pt idx="16">
                  <c:v>2008-5</c:v>
                </c:pt>
                <c:pt idx="17">
                  <c:v>2008-6</c:v>
                </c:pt>
                <c:pt idx="18">
                  <c:v>2008-7</c:v>
                </c:pt>
                <c:pt idx="19">
                  <c:v>2008-8</c:v>
                </c:pt>
                <c:pt idx="20">
                  <c:v>2008-9</c:v>
                </c:pt>
                <c:pt idx="21">
                  <c:v>2008-10</c:v>
                </c:pt>
                <c:pt idx="22">
                  <c:v>2008-11</c:v>
                </c:pt>
                <c:pt idx="23">
                  <c:v>2008-12</c:v>
                </c:pt>
                <c:pt idx="24">
                  <c:v>2009-1</c:v>
                </c:pt>
                <c:pt idx="25">
                  <c:v>2009-2</c:v>
                </c:pt>
                <c:pt idx="26">
                  <c:v>2009-3</c:v>
                </c:pt>
                <c:pt idx="27">
                  <c:v>2009-4</c:v>
                </c:pt>
                <c:pt idx="28">
                  <c:v>2009-5</c:v>
                </c:pt>
                <c:pt idx="29">
                  <c:v>2009-6</c:v>
                </c:pt>
                <c:pt idx="30">
                  <c:v>2009-7</c:v>
                </c:pt>
                <c:pt idx="31">
                  <c:v>2009-8</c:v>
                </c:pt>
                <c:pt idx="32">
                  <c:v>2009-9</c:v>
                </c:pt>
                <c:pt idx="33">
                  <c:v>2009-10</c:v>
                </c:pt>
                <c:pt idx="34">
                  <c:v>2009-11</c:v>
                </c:pt>
                <c:pt idx="35">
                  <c:v>2009-12</c:v>
                </c:pt>
                <c:pt idx="36">
                  <c:v>2010-1</c:v>
                </c:pt>
                <c:pt idx="37">
                  <c:v>2010-2</c:v>
                </c:pt>
                <c:pt idx="38">
                  <c:v>2010-3</c:v>
                </c:pt>
                <c:pt idx="39">
                  <c:v>2010-4</c:v>
                </c:pt>
                <c:pt idx="40">
                  <c:v>2010-5</c:v>
                </c:pt>
                <c:pt idx="41">
                  <c:v>2010-6</c:v>
                </c:pt>
                <c:pt idx="42">
                  <c:v>2010-7</c:v>
                </c:pt>
                <c:pt idx="43">
                  <c:v>2010-8</c:v>
                </c:pt>
                <c:pt idx="44">
                  <c:v>2010-9</c:v>
                </c:pt>
                <c:pt idx="45">
                  <c:v>2010-10</c:v>
                </c:pt>
                <c:pt idx="46">
                  <c:v>2010-11</c:v>
                </c:pt>
                <c:pt idx="47">
                  <c:v>2010-12</c:v>
                </c:pt>
                <c:pt idx="48">
                  <c:v>2011-1</c:v>
                </c:pt>
                <c:pt idx="49">
                  <c:v>2011-2</c:v>
                </c:pt>
                <c:pt idx="50">
                  <c:v>2011-3</c:v>
                </c:pt>
                <c:pt idx="51">
                  <c:v>2011-4</c:v>
                </c:pt>
                <c:pt idx="52">
                  <c:v>2011-5</c:v>
                </c:pt>
                <c:pt idx="53">
                  <c:v>2011-6</c:v>
                </c:pt>
                <c:pt idx="54">
                  <c:v>2011-7</c:v>
                </c:pt>
                <c:pt idx="55">
                  <c:v>2011-8</c:v>
                </c:pt>
                <c:pt idx="56">
                  <c:v>2011-9</c:v>
                </c:pt>
                <c:pt idx="57">
                  <c:v>2011-10</c:v>
                </c:pt>
                <c:pt idx="58">
                  <c:v>2011-11</c:v>
                </c:pt>
                <c:pt idx="59">
                  <c:v>2011-12</c:v>
                </c:pt>
                <c:pt idx="60">
                  <c:v>2012-1</c:v>
                </c:pt>
                <c:pt idx="61">
                  <c:v>2012-2</c:v>
                </c:pt>
                <c:pt idx="62">
                  <c:v>2012-3</c:v>
                </c:pt>
                <c:pt idx="63">
                  <c:v>2012-4</c:v>
                </c:pt>
                <c:pt idx="64">
                  <c:v>2012-5</c:v>
                </c:pt>
                <c:pt idx="65">
                  <c:v>2012-6</c:v>
                </c:pt>
                <c:pt idx="66">
                  <c:v>2012-7</c:v>
                </c:pt>
                <c:pt idx="67">
                  <c:v>2012-8</c:v>
                </c:pt>
                <c:pt idx="68">
                  <c:v>2012-9</c:v>
                </c:pt>
                <c:pt idx="69">
                  <c:v>2012-10</c:v>
                </c:pt>
                <c:pt idx="70">
                  <c:v>2012-11</c:v>
                </c:pt>
                <c:pt idx="71">
                  <c:v>2012-12</c:v>
                </c:pt>
                <c:pt idx="72">
                  <c:v>2013-1</c:v>
                </c:pt>
                <c:pt idx="73">
                  <c:v>2013-2</c:v>
                </c:pt>
                <c:pt idx="74">
                  <c:v>2013-3</c:v>
                </c:pt>
                <c:pt idx="75">
                  <c:v>2013-4</c:v>
                </c:pt>
                <c:pt idx="76">
                  <c:v>2013-5</c:v>
                </c:pt>
                <c:pt idx="77">
                  <c:v>2013-6</c:v>
                </c:pt>
                <c:pt idx="78">
                  <c:v>2013-7</c:v>
                </c:pt>
                <c:pt idx="79">
                  <c:v>2013-8</c:v>
                </c:pt>
                <c:pt idx="80">
                  <c:v>2013-9</c:v>
                </c:pt>
              </c:strCache>
            </c:strRef>
          </c:cat>
          <c:val>
            <c:numRef>
              <c:f>'[Tabelle e figure.xlsx]Figura 1'!$F$2:$F$82</c:f>
              <c:numCache>
                <c:formatCode>0.00</c:formatCode>
                <c:ptCount val="81"/>
                <c:pt idx="0">
                  <c:v>1.7647199999999998</c:v>
                </c:pt>
                <c:pt idx="1">
                  <c:v>1.6176600000000001</c:v>
                </c:pt>
                <c:pt idx="2">
                  <c:v>1.7647199999999998</c:v>
                </c:pt>
                <c:pt idx="3">
                  <c:v>1.7647199999999998</c:v>
                </c:pt>
                <c:pt idx="4">
                  <c:v>1.91178</c:v>
                </c:pt>
                <c:pt idx="5">
                  <c:v>2.0588399999999996</c:v>
                </c:pt>
                <c:pt idx="6">
                  <c:v>1.8382499999999999</c:v>
                </c:pt>
                <c:pt idx="7">
                  <c:v>1.7647199999999998</c:v>
                </c:pt>
                <c:pt idx="8">
                  <c:v>2.1323699999999999</c:v>
                </c:pt>
                <c:pt idx="9">
                  <c:v>2.57355</c:v>
                </c:pt>
                <c:pt idx="10">
                  <c:v>2.9411999999999998</c:v>
                </c:pt>
                <c:pt idx="11">
                  <c:v>3.2353200000000002</c:v>
                </c:pt>
                <c:pt idx="12">
                  <c:v>3.60297</c:v>
                </c:pt>
                <c:pt idx="13">
                  <c:v>3.6764999999999999</c:v>
                </c:pt>
                <c:pt idx="14">
                  <c:v>3.8235600000000001</c:v>
                </c:pt>
                <c:pt idx="15">
                  <c:v>3.7500299999999993</c:v>
                </c:pt>
                <c:pt idx="16">
                  <c:v>3.9706199999999998</c:v>
                </c:pt>
                <c:pt idx="17">
                  <c:v>4.2647399999999998</c:v>
                </c:pt>
                <c:pt idx="18">
                  <c:v>4.4853299999999994</c:v>
                </c:pt>
                <c:pt idx="19">
                  <c:v>4.1912099999999999</c:v>
                </c:pt>
                <c:pt idx="20">
                  <c:v>3.9706199999999998</c:v>
                </c:pt>
                <c:pt idx="21">
                  <c:v>3.3823799999999995</c:v>
                </c:pt>
                <c:pt idx="22">
                  <c:v>2.3529599999999999</c:v>
                </c:pt>
                <c:pt idx="23">
                  <c:v>1.54413</c:v>
                </c:pt>
                <c:pt idx="24">
                  <c:v>1.0294199999999998</c:v>
                </c:pt>
                <c:pt idx="25">
                  <c:v>1.17648</c:v>
                </c:pt>
                <c:pt idx="26">
                  <c:v>0.80883000000000005</c:v>
                </c:pt>
                <c:pt idx="27">
                  <c:v>0.80883000000000005</c:v>
                </c:pt>
                <c:pt idx="28">
                  <c:v>0.44117999999999996</c:v>
                </c:pt>
                <c:pt idx="29">
                  <c:v>0.14706</c:v>
                </c:pt>
                <c:pt idx="30">
                  <c:v>-0.22058999999999998</c:v>
                </c:pt>
                <c:pt idx="31">
                  <c:v>7.3529999999999998E-2</c:v>
                </c:pt>
                <c:pt idx="32">
                  <c:v>0</c:v>
                </c:pt>
                <c:pt idx="33">
                  <c:v>0.14706</c:v>
                </c:pt>
                <c:pt idx="34">
                  <c:v>0.88235999999999992</c:v>
                </c:pt>
                <c:pt idx="35">
                  <c:v>1.4705999999999999</c:v>
                </c:pt>
                <c:pt idx="36">
                  <c:v>1.8382499999999999</c:v>
                </c:pt>
                <c:pt idx="37">
                  <c:v>1.4705999999999999</c:v>
                </c:pt>
                <c:pt idx="38">
                  <c:v>1.6176600000000001</c:v>
                </c:pt>
                <c:pt idx="39">
                  <c:v>1.6176600000000001</c:v>
                </c:pt>
                <c:pt idx="40">
                  <c:v>1.54413</c:v>
                </c:pt>
                <c:pt idx="41">
                  <c:v>1.17648</c:v>
                </c:pt>
                <c:pt idx="42">
                  <c:v>1.3235399999999999</c:v>
                </c:pt>
                <c:pt idx="43">
                  <c:v>1.17648</c:v>
                </c:pt>
                <c:pt idx="44">
                  <c:v>1.3235399999999999</c:v>
                </c:pt>
                <c:pt idx="45">
                  <c:v>1.54413</c:v>
                </c:pt>
                <c:pt idx="46">
                  <c:v>1.54413</c:v>
                </c:pt>
                <c:pt idx="47">
                  <c:v>1.6176600000000001</c:v>
                </c:pt>
                <c:pt idx="48">
                  <c:v>1.9853099999999999</c:v>
                </c:pt>
                <c:pt idx="49">
                  <c:v>2.2794300000000001</c:v>
                </c:pt>
                <c:pt idx="50">
                  <c:v>2.3529599999999999</c:v>
                </c:pt>
                <c:pt idx="51">
                  <c:v>2.4264899999999998</c:v>
                </c:pt>
                <c:pt idx="52">
                  <c:v>2.57355</c:v>
                </c:pt>
                <c:pt idx="53">
                  <c:v>2.57355</c:v>
                </c:pt>
                <c:pt idx="54">
                  <c:v>2.5000199999999997</c:v>
                </c:pt>
                <c:pt idx="55">
                  <c:v>2.6470799999999999</c:v>
                </c:pt>
                <c:pt idx="56">
                  <c:v>2.7206099999999998</c:v>
                </c:pt>
                <c:pt idx="57">
                  <c:v>3.0147299999999997</c:v>
                </c:pt>
                <c:pt idx="58">
                  <c:v>3.08826</c:v>
                </c:pt>
                <c:pt idx="59">
                  <c:v>3.1617899999999999</c:v>
                </c:pt>
                <c:pt idx="60">
                  <c:v>3.08826</c:v>
                </c:pt>
                <c:pt idx="61">
                  <c:v>3.3088499999999996</c:v>
                </c:pt>
                <c:pt idx="62">
                  <c:v>3.3823799999999995</c:v>
                </c:pt>
                <c:pt idx="63">
                  <c:v>3.4559099999999998</c:v>
                </c:pt>
                <c:pt idx="64">
                  <c:v>3.08826</c:v>
                </c:pt>
                <c:pt idx="65">
                  <c:v>3.2353200000000002</c:v>
                </c:pt>
                <c:pt idx="66">
                  <c:v>2.9411999999999998</c:v>
                </c:pt>
                <c:pt idx="67">
                  <c:v>3.08826</c:v>
                </c:pt>
                <c:pt idx="68">
                  <c:v>3.4559099999999998</c:v>
                </c:pt>
                <c:pt idx="69">
                  <c:v>2.9411999999999998</c:v>
                </c:pt>
                <c:pt idx="70">
                  <c:v>2.57355</c:v>
                </c:pt>
                <c:pt idx="71">
                  <c:v>2.2794300000000001</c:v>
                </c:pt>
                <c:pt idx="72">
                  <c:v>1.9853099999999999</c:v>
                </c:pt>
                <c:pt idx="73">
                  <c:v>1.7647199999999998</c:v>
                </c:pt>
                <c:pt idx="74">
                  <c:v>1.4705999999999999</c:v>
                </c:pt>
                <c:pt idx="75">
                  <c:v>1.1029499999999999</c:v>
                </c:pt>
                <c:pt idx="76">
                  <c:v>1.1029499999999999</c:v>
                </c:pt>
                <c:pt idx="77">
                  <c:v>1.2500099999999998</c:v>
                </c:pt>
                <c:pt idx="78">
                  <c:v>1.4705999999999999</c:v>
                </c:pt>
                <c:pt idx="79">
                  <c:v>1.2500099999999998</c:v>
                </c:pt>
                <c:pt idx="80">
                  <c:v>0.73529999999999995</c:v>
                </c:pt>
              </c:numCache>
            </c:numRef>
          </c:val>
        </c:ser>
        <c:dLbls>
          <c:showLegendKey val="0"/>
          <c:showVal val="0"/>
          <c:showCatName val="0"/>
          <c:showSerName val="0"/>
          <c:showPercent val="0"/>
          <c:showBubbleSize val="0"/>
        </c:dLbls>
        <c:axId val="28059520"/>
        <c:axId val="28061056"/>
      </c:areaChart>
      <c:catAx>
        <c:axId val="28059520"/>
        <c:scaling>
          <c:orientation val="minMax"/>
        </c:scaling>
        <c:delete val="0"/>
        <c:axPos val="b"/>
        <c:majorTickMark val="out"/>
        <c:minorTickMark val="none"/>
        <c:tickLblPos val="nextTo"/>
        <c:txPr>
          <a:bodyPr/>
          <a:lstStyle/>
          <a:p>
            <a:pPr>
              <a:defRPr sz="800"/>
            </a:pPr>
            <a:endParaRPr lang="it-IT"/>
          </a:p>
        </c:txPr>
        <c:crossAx val="28061056"/>
        <c:crosses val="autoZero"/>
        <c:auto val="1"/>
        <c:lblAlgn val="ctr"/>
        <c:lblOffset val="100"/>
        <c:noMultiLvlLbl val="0"/>
      </c:catAx>
      <c:valAx>
        <c:axId val="28061056"/>
        <c:scaling>
          <c:orientation val="minMax"/>
          <c:max val="23"/>
          <c:min val="0"/>
        </c:scaling>
        <c:delete val="0"/>
        <c:axPos val="l"/>
        <c:numFmt formatCode="0.0" sourceLinked="0"/>
        <c:majorTickMark val="out"/>
        <c:minorTickMark val="none"/>
        <c:tickLblPos val="nextTo"/>
        <c:txPr>
          <a:bodyPr/>
          <a:lstStyle/>
          <a:p>
            <a:pPr>
              <a:defRPr sz="900"/>
            </a:pPr>
            <a:endParaRPr lang="it-IT"/>
          </a:p>
        </c:txPr>
        <c:crossAx val="28059520"/>
        <c:crosses val="autoZero"/>
        <c:crossBetween val="midCat"/>
      </c:valAx>
    </c:plotArea>
    <c:legend>
      <c:legendPos val="r"/>
      <c:layout>
        <c:manualLayout>
          <c:xMode val="edge"/>
          <c:yMode val="edge"/>
          <c:x val="0.84822623670106323"/>
          <c:y val="0.39260863451851125"/>
          <c:w val="0.14967631698882505"/>
          <c:h val="9.9220503833970172E-2"/>
        </c:manualLayout>
      </c:layout>
      <c:overlay val="0"/>
      <c:txPr>
        <a:bodyPr/>
        <a:lstStyle/>
        <a:p>
          <a:pPr>
            <a:defRPr sz="900"/>
          </a:pPr>
          <a:endParaRPr lang="it-IT"/>
        </a:p>
      </c:txPr>
    </c:legend>
    <c:plotVisOnly val="1"/>
    <c:dispBlanksAs val="zero"/>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818BEABED94125B5ADAD88822C5358"/>
        <w:category>
          <w:name w:val="Generale"/>
          <w:gallery w:val="placeholder"/>
        </w:category>
        <w:types>
          <w:type w:val="bbPlcHdr"/>
        </w:types>
        <w:behaviors>
          <w:behavior w:val="content"/>
        </w:behaviors>
        <w:guid w:val="{950A37C7-6D54-4E8C-A03D-22684A84570E}"/>
      </w:docPartPr>
      <w:docPartBody>
        <w:p w:rsidR="00447321" w:rsidRDefault="00E940B6" w:rsidP="00E940B6">
          <w:pPr>
            <w:pStyle w:val="15818BEABED94125B5ADAD88822C5358"/>
          </w:pPr>
          <w: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0B6"/>
    <w:rsid w:val="00040623"/>
    <w:rsid w:val="00077044"/>
    <w:rsid w:val="001A65C9"/>
    <w:rsid w:val="001D1935"/>
    <w:rsid w:val="001D7FC3"/>
    <w:rsid w:val="002E2AC8"/>
    <w:rsid w:val="00325A38"/>
    <w:rsid w:val="003A5F79"/>
    <w:rsid w:val="00447321"/>
    <w:rsid w:val="004D4D67"/>
    <w:rsid w:val="004E2DFC"/>
    <w:rsid w:val="00547960"/>
    <w:rsid w:val="00547DDC"/>
    <w:rsid w:val="005813DB"/>
    <w:rsid w:val="00591801"/>
    <w:rsid w:val="005A23BB"/>
    <w:rsid w:val="005C274D"/>
    <w:rsid w:val="005E14F9"/>
    <w:rsid w:val="00667445"/>
    <w:rsid w:val="006944FF"/>
    <w:rsid w:val="00700E0C"/>
    <w:rsid w:val="0072561C"/>
    <w:rsid w:val="00815E79"/>
    <w:rsid w:val="008320C8"/>
    <w:rsid w:val="00833ED3"/>
    <w:rsid w:val="008453A5"/>
    <w:rsid w:val="008B0345"/>
    <w:rsid w:val="008F7E2E"/>
    <w:rsid w:val="009E51E4"/>
    <w:rsid w:val="00B15D94"/>
    <w:rsid w:val="00BA6E3E"/>
    <w:rsid w:val="00CC568B"/>
    <w:rsid w:val="00CE376C"/>
    <w:rsid w:val="00CE7FDE"/>
    <w:rsid w:val="00D439AE"/>
    <w:rsid w:val="00D964AF"/>
    <w:rsid w:val="00DD548C"/>
    <w:rsid w:val="00E0528A"/>
    <w:rsid w:val="00E4145E"/>
    <w:rsid w:val="00E940B6"/>
    <w:rsid w:val="00EB2520"/>
    <w:rsid w:val="00F02C1C"/>
    <w:rsid w:val="00F52A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62EB39FF9B3E4958863EBBBC6EC7B536">
    <w:name w:val="62EB39FF9B3E4958863EBBBC6EC7B536"/>
    <w:rsid w:val="00E940B6"/>
  </w:style>
  <w:style w:type="paragraph" w:customStyle="1" w:styleId="2A20A7CB24764086BDAB5B3902D6C66C">
    <w:name w:val="2A20A7CB24764086BDAB5B3902D6C66C"/>
    <w:rsid w:val="00E940B6"/>
  </w:style>
  <w:style w:type="paragraph" w:customStyle="1" w:styleId="15818BEABED94125B5ADAD88822C5358">
    <w:name w:val="15818BEABED94125B5ADAD88822C5358"/>
    <w:rsid w:val="00E940B6"/>
  </w:style>
  <w:style w:type="paragraph" w:customStyle="1" w:styleId="94F8008F6F5844BBB01B7971538EA97B">
    <w:name w:val="94F8008F6F5844BBB01B7971538EA97B"/>
    <w:rsid w:val="00E940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62EB39FF9B3E4958863EBBBC6EC7B536">
    <w:name w:val="62EB39FF9B3E4958863EBBBC6EC7B536"/>
    <w:rsid w:val="00E940B6"/>
  </w:style>
  <w:style w:type="paragraph" w:customStyle="1" w:styleId="2A20A7CB24764086BDAB5B3902D6C66C">
    <w:name w:val="2A20A7CB24764086BDAB5B3902D6C66C"/>
    <w:rsid w:val="00E940B6"/>
  </w:style>
  <w:style w:type="paragraph" w:customStyle="1" w:styleId="15818BEABED94125B5ADAD88822C5358">
    <w:name w:val="15818BEABED94125B5ADAD88822C5358"/>
    <w:rsid w:val="00E940B6"/>
  </w:style>
  <w:style w:type="paragraph" w:customStyle="1" w:styleId="94F8008F6F5844BBB01B7971538EA97B">
    <w:name w:val="94F8008F6F5844BBB01B7971538EA97B"/>
    <w:rsid w:val="00E94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38265-222D-430E-948E-3E4F14B4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1424</Words>
  <Characters>8119</Characters>
  <Application>Microsoft Office Word</Application>
  <DocSecurity>4</DocSecurity>
  <Lines>67</Lines>
  <Paragraphs>19</Paragraphs>
  <ScaleCrop>false</ScaleCrop>
  <HeadingPairs>
    <vt:vector size="2" baseType="variant">
      <vt:variant>
        <vt:lpstr>Titolo</vt:lpstr>
      </vt:variant>
      <vt:variant>
        <vt:i4>1</vt:i4>
      </vt:variant>
    </vt:vector>
  </HeadingPairs>
  <TitlesOfParts>
    <vt:vector size="1" baseType="lpstr">
      <vt:lpstr>Settembre 2013, n. 8                                                             Ufficio Studi Confcommercio - Imprese per l’Italia</vt:lpstr>
    </vt:vector>
  </TitlesOfParts>
  <Company>CONFCOMMERCIO</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Settembre 2013, n. 8                                                             Ufficio Studi Confcommercio - Imprese per l’Italia</dc:title>
  <dc:creator>Stage08</dc:creator>
  <cp:lastModifiedBy>Ragaini</cp:lastModifiedBy>
  <cp:revision>2</cp:revision>
  <cp:lastPrinted>2013-10-31T13:41:00Z</cp:lastPrinted>
  <dcterms:created xsi:type="dcterms:W3CDTF">2013-10-31T15:41:00Z</dcterms:created>
  <dcterms:modified xsi:type="dcterms:W3CDTF">2013-10-31T15:41:00Z</dcterms:modified>
</cp:coreProperties>
</file>