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20E" w:rsidRPr="001260DD" w:rsidRDefault="0099571F" w:rsidP="001260DD">
      <w:pPr>
        <w:spacing w:after="0"/>
        <w:jc w:val="center"/>
        <w:rPr>
          <w:rFonts w:ascii="Verdana" w:hAnsi="Verdana" w:cs="Arial"/>
          <w:sz w:val="20"/>
          <w:szCs w:val="20"/>
        </w:rPr>
      </w:pPr>
      <w:bookmarkStart w:id="0" w:name="_GoBack"/>
      <w:bookmarkEnd w:id="0"/>
      <w:r w:rsidRPr="003E77E3">
        <w:rPr>
          <w:noProof/>
          <w:lang w:eastAsia="it-IT"/>
        </w:rPr>
        <mc:AlternateContent>
          <mc:Choice Requires="wps">
            <w:drawing>
              <wp:anchor distT="0" distB="0" distL="114300" distR="114300" simplePos="0" relativeHeight="251661312" behindDoc="0" locked="0" layoutInCell="1" allowOverlap="1" wp14:anchorId="43E218F2" wp14:editId="53E3CFE8">
                <wp:simplePos x="0" y="0"/>
                <wp:positionH relativeFrom="column">
                  <wp:posOffset>2393527</wp:posOffset>
                </wp:positionH>
                <wp:positionV relativeFrom="paragraph">
                  <wp:posOffset>428625</wp:posOffset>
                </wp:positionV>
                <wp:extent cx="4084320" cy="1403985"/>
                <wp:effectExtent l="0" t="0" r="0" b="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320" cy="1403985"/>
                        </a:xfrm>
                        <a:prstGeom prst="rect">
                          <a:avLst/>
                        </a:prstGeom>
                        <a:solidFill>
                          <a:srgbClr val="FFFFFF"/>
                        </a:solidFill>
                        <a:ln w="9525">
                          <a:noFill/>
                          <a:miter lim="800000"/>
                          <a:headEnd/>
                          <a:tailEnd/>
                        </a:ln>
                      </wps:spPr>
                      <wps:txbx>
                        <w:txbxContent>
                          <w:p w:rsidR="0099571F" w:rsidRDefault="0099571F" w:rsidP="0099571F">
                            <w:pPr>
                              <w:spacing w:after="0" w:line="240" w:lineRule="auto"/>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5" o:spid="_x0000_s1026" type="#_x0000_t202" style="position:absolute;left:0;text-align:left;margin-left:188.45pt;margin-top:33.75pt;width:321.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" stroked="f">
                <v:textbox style="mso-fit-shape-to-text:t">
                  <w:txbxContent>
                    <w:p w:rsidR="0099571F" w:rsidRDefault="0099571F" w:rsidP="0099571F">
                      <w:pPr>
                        <w:spacing w:after="0" w:line="240" w:lineRule="auto"/>
                        <w:jc w:val="right"/>
                      </w:pPr>
                    </w:p>
                  </w:txbxContent>
                </v:textbox>
              </v:shape>
            </w:pict>
          </mc:Fallback>
        </mc:AlternateContent>
      </w:r>
      <w:r>
        <w:rPr>
          <w:noProof/>
          <w:lang w:eastAsia="it-IT"/>
        </w:rPr>
        <w:drawing>
          <wp:anchor distT="0" distB="0" distL="114300" distR="114300" simplePos="0" relativeHeight="251659264" behindDoc="0" locked="0" layoutInCell="1" allowOverlap="1" wp14:anchorId="1C33350A" wp14:editId="73869406">
            <wp:simplePos x="0" y="0"/>
            <wp:positionH relativeFrom="column">
              <wp:posOffset>378460</wp:posOffset>
            </wp:positionH>
            <wp:positionV relativeFrom="paragraph">
              <wp:posOffset>-384810</wp:posOffset>
            </wp:positionV>
            <wp:extent cx="1932305" cy="857250"/>
            <wp:effectExtent l="0" t="0" r="0" b="0"/>
            <wp:wrapTopAndBottom/>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230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6438" w:rsidRPr="00B16438" w:rsidRDefault="00B16438" w:rsidP="00B16438">
      <w:pPr>
        <w:spacing w:after="0" w:line="240" w:lineRule="auto"/>
        <w:jc w:val="center"/>
        <w:rPr>
          <w:rFonts w:ascii="Arial" w:eastAsia="Times New Roman" w:hAnsi="Arial" w:cs="Arial"/>
          <w:b/>
          <w:bCs/>
          <w:color w:val="000000"/>
          <w:sz w:val="20"/>
          <w:szCs w:val="20"/>
          <w:lang w:eastAsia="it-IT"/>
        </w:rPr>
      </w:pPr>
      <w:r w:rsidRPr="00562926">
        <w:rPr>
          <w:rFonts w:ascii="Arial" w:eastAsia="Times New Roman" w:hAnsi="Arial" w:cs="Arial"/>
          <w:b/>
          <w:bCs/>
          <w:color w:val="000000"/>
          <w:sz w:val="20"/>
          <w:szCs w:val="20"/>
          <w:lang w:eastAsia="it-IT"/>
        </w:rPr>
        <w:t>Tabella 1: Prezzi, disoccupazione e Misery Index Confcommercio (MIC) in Italia</w:t>
      </w:r>
    </w:p>
    <w:tbl>
      <w:tblPr>
        <w:tblW w:w="8560" w:type="dxa"/>
        <w:jc w:val="center"/>
        <w:tblCellMar>
          <w:left w:w="70" w:type="dxa"/>
          <w:right w:w="70" w:type="dxa"/>
        </w:tblCellMar>
        <w:tblLook w:val="04A0" w:firstRow="1" w:lastRow="0" w:firstColumn="1" w:lastColumn="0" w:noHBand="0" w:noVBand="1"/>
      </w:tblPr>
      <w:tblGrid>
        <w:gridCol w:w="1840"/>
        <w:gridCol w:w="1680"/>
        <w:gridCol w:w="1680"/>
        <w:gridCol w:w="1680"/>
        <w:gridCol w:w="1680"/>
      </w:tblGrid>
      <w:tr w:rsidR="00B16438" w:rsidRPr="00E05336" w:rsidTr="00FC6A1B">
        <w:trPr>
          <w:trHeight w:val="227"/>
          <w:jc w:val="center"/>
        </w:trPr>
        <w:tc>
          <w:tcPr>
            <w:tcW w:w="1840" w:type="dxa"/>
            <w:tcBorders>
              <w:top w:val="double" w:sz="4" w:space="0" w:color="auto"/>
              <w:left w:val="nil"/>
              <w:bottom w:val="single" w:sz="8" w:space="0" w:color="auto"/>
              <w:right w:val="nil"/>
            </w:tcBorders>
            <w:shd w:val="clear" w:color="auto" w:fill="auto"/>
            <w:vAlign w:val="center"/>
            <w:hideMark/>
          </w:tcPr>
          <w:p w:rsidR="00B16438" w:rsidRPr="008D3AA1" w:rsidRDefault="00B16438" w:rsidP="00E05336">
            <w:pPr>
              <w:spacing w:after="0" w:line="240" w:lineRule="auto"/>
              <w:rPr>
                <w:rFonts w:ascii="Arial" w:eastAsia="Times New Roman" w:hAnsi="Arial" w:cs="Arial"/>
                <w:b/>
                <w:bCs/>
                <w:color w:val="000000"/>
                <w:sz w:val="16"/>
                <w:szCs w:val="16"/>
                <w:lang w:eastAsia="it-IT"/>
              </w:rPr>
            </w:pPr>
            <w:r w:rsidRPr="008D3AA1">
              <w:rPr>
                <w:rFonts w:ascii="Arial" w:eastAsia="Times New Roman" w:hAnsi="Arial" w:cs="Arial"/>
                <w:b/>
                <w:bCs/>
                <w:color w:val="000000"/>
                <w:sz w:val="16"/>
                <w:szCs w:val="16"/>
                <w:lang w:eastAsia="it-IT"/>
              </w:rPr>
              <w:t>anno</w:t>
            </w:r>
          </w:p>
        </w:tc>
        <w:tc>
          <w:tcPr>
            <w:tcW w:w="1680" w:type="dxa"/>
            <w:tcBorders>
              <w:top w:val="double" w:sz="4" w:space="0" w:color="auto"/>
              <w:left w:val="nil"/>
              <w:bottom w:val="single" w:sz="8" w:space="0" w:color="auto"/>
              <w:right w:val="nil"/>
            </w:tcBorders>
            <w:shd w:val="clear" w:color="auto" w:fill="auto"/>
            <w:vAlign w:val="center"/>
            <w:hideMark/>
          </w:tcPr>
          <w:p w:rsidR="00B16438" w:rsidRPr="008D3AA1" w:rsidRDefault="00B16438" w:rsidP="00E05336">
            <w:pPr>
              <w:spacing w:after="0" w:line="240" w:lineRule="auto"/>
              <w:jc w:val="center"/>
              <w:rPr>
                <w:rFonts w:ascii="Arial" w:eastAsia="Times New Roman" w:hAnsi="Arial" w:cs="Arial"/>
                <w:b/>
                <w:bCs/>
                <w:color w:val="000000"/>
                <w:sz w:val="16"/>
                <w:szCs w:val="16"/>
                <w:lang w:eastAsia="it-IT"/>
              </w:rPr>
            </w:pPr>
            <w:r w:rsidRPr="008D3AA1">
              <w:rPr>
                <w:rFonts w:ascii="Arial" w:eastAsia="Times New Roman" w:hAnsi="Arial" w:cs="Arial"/>
                <w:b/>
                <w:bCs/>
                <w:color w:val="000000"/>
                <w:sz w:val="16"/>
                <w:szCs w:val="16"/>
                <w:lang w:eastAsia="it-IT"/>
              </w:rPr>
              <w:t>disoccupazione ufficiale (%)</w:t>
            </w:r>
          </w:p>
        </w:tc>
        <w:tc>
          <w:tcPr>
            <w:tcW w:w="1680" w:type="dxa"/>
            <w:tcBorders>
              <w:top w:val="double" w:sz="4" w:space="0" w:color="auto"/>
              <w:left w:val="nil"/>
              <w:bottom w:val="single" w:sz="8" w:space="0" w:color="auto"/>
              <w:right w:val="nil"/>
            </w:tcBorders>
            <w:shd w:val="clear" w:color="auto" w:fill="auto"/>
            <w:vAlign w:val="center"/>
            <w:hideMark/>
          </w:tcPr>
          <w:p w:rsidR="00B16438" w:rsidRPr="008D3AA1" w:rsidRDefault="00B16438" w:rsidP="00E05336">
            <w:pPr>
              <w:spacing w:after="0" w:line="240" w:lineRule="auto"/>
              <w:jc w:val="center"/>
              <w:rPr>
                <w:rFonts w:ascii="Arial" w:eastAsia="Times New Roman" w:hAnsi="Arial" w:cs="Arial"/>
                <w:b/>
                <w:bCs/>
                <w:color w:val="000000"/>
                <w:sz w:val="16"/>
                <w:szCs w:val="16"/>
                <w:lang w:eastAsia="it-IT"/>
              </w:rPr>
            </w:pPr>
            <w:r w:rsidRPr="008D3AA1">
              <w:rPr>
                <w:rFonts w:ascii="Arial" w:eastAsia="Times New Roman" w:hAnsi="Arial" w:cs="Arial"/>
                <w:b/>
                <w:bCs/>
                <w:color w:val="000000"/>
                <w:sz w:val="16"/>
                <w:szCs w:val="16"/>
                <w:lang w:eastAsia="it-IT"/>
              </w:rPr>
              <w:t>disoccupazione estesa (%) *</w:t>
            </w:r>
          </w:p>
        </w:tc>
        <w:tc>
          <w:tcPr>
            <w:tcW w:w="1680" w:type="dxa"/>
            <w:tcBorders>
              <w:top w:val="double" w:sz="4" w:space="0" w:color="auto"/>
              <w:left w:val="nil"/>
              <w:bottom w:val="single" w:sz="8" w:space="0" w:color="auto"/>
              <w:right w:val="nil"/>
            </w:tcBorders>
            <w:shd w:val="clear" w:color="auto" w:fill="auto"/>
            <w:vAlign w:val="center"/>
            <w:hideMark/>
          </w:tcPr>
          <w:p w:rsidR="00B16438" w:rsidRPr="008D3AA1" w:rsidRDefault="00B16438" w:rsidP="00E05336">
            <w:pPr>
              <w:spacing w:after="0" w:line="240" w:lineRule="auto"/>
              <w:jc w:val="center"/>
              <w:rPr>
                <w:rFonts w:ascii="Arial" w:eastAsia="Times New Roman" w:hAnsi="Arial" w:cs="Arial"/>
                <w:b/>
                <w:bCs/>
                <w:color w:val="000000"/>
                <w:sz w:val="16"/>
                <w:szCs w:val="16"/>
                <w:lang w:eastAsia="it-IT"/>
              </w:rPr>
            </w:pPr>
            <w:r w:rsidRPr="008D3AA1">
              <w:rPr>
                <w:rFonts w:ascii="Arial" w:eastAsia="Times New Roman" w:hAnsi="Arial" w:cs="Arial"/>
                <w:b/>
                <w:bCs/>
                <w:color w:val="000000"/>
                <w:sz w:val="16"/>
                <w:szCs w:val="16"/>
                <w:lang w:eastAsia="it-IT"/>
              </w:rPr>
              <w:t>Δ% prezzi-alta frequenza di acquisto</w:t>
            </w:r>
          </w:p>
        </w:tc>
        <w:tc>
          <w:tcPr>
            <w:tcW w:w="1680" w:type="dxa"/>
            <w:tcBorders>
              <w:top w:val="double" w:sz="4" w:space="0" w:color="auto"/>
              <w:left w:val="nil"/>
              <w:bottom w:val="single" w:sz="8" w:space="0" w:color="auto"/>
              <w:right w:val="nil"/>
            </w:tcBorders>
            <w:shd w:val="clear" w:color="auto" w:fill="auto"/>
            <w:vAlign w:val="center"/>
            <w:hideMark/>
          </w:tcPr>
          <w:p w:rsidR="00B16438" w:rsidRPr="008D3AA1" w:rsidRDefault="00B16438" w:rsidP="00E05336">
            <w:pPr>
              <w:spacing w:after="0" w:line="240" w:lineRule="auto"/>
              <w:jc w:val="center"/>
              <w:rPr>
                <w:rFonts w:ascii="Arial" w:eastAsia="Times New Roman" w:hAnsi="Arial" w:cs="Arial"/>
                <w:b/>
                <w:bCs/>
                <w:color w:val="000000"/>
                <w:sz w:val="16"/>
                <w:szCs w:val="16"/>
                <w:lang w:eastAsia="it-IT"/>
              </w:rPr>
            </w:pPr>
            <w:r w:rsidRPr="008D3AA1">
              <w:rPr>
                <w:rFonts w:ascii="Arial" w:eastAsia="Times New Roman" w:hAnsi="Arial" w:cs="Arial"/>
                <w:b/>
                <w:bCs/>
                <w:color w:val="000000"/>
                <w:sz w:val="16"/>
                <w:szCs w:val="16"/>
                <w:lang w:eastAsia="it-IT"/>
              </w:rPr>
              <w:t>MIC*</w:t>
            </w:r>
          </w:p>
        </w:tc>
      </w:tr>
      <w:tr w:rsidR="00E05336" w:rsidRPr="00E05336" w:rsidTr="00FC6A1B">
        <w:trPr>
          <w:trHeight w:val="227"/>
          <w:jc w:val="center"/>
        </w:trPr>
        <w:tc>
          <w:tcPr>
            <w:tcW w:w="1840" w:type="dxa"/>
            <w:tcBorders>
              <w:top w:val="nil"/>
              <w:left w:val="nil"/>
              <w:bottom w:val="nil"/>
              <w:right w:val="nil"/>
            </w:tcBorders>
            <w:shd w:val="clear" w:color="auto" w:fill="auto"/>
            <w:noWrap/>
            <w:vAlign w:val="center"/>
          </w:tcPr>
          <w:p w:rsidR="00E05336" w:rsidRDefault="00E05336" w:rsidP="00E05336">
            <w:pPr>
              <w:spacing w:after="0"/>
              <w:rPr>
                <w:rFonts w:ascii="Arial" w:hAnsi="Arial" w:cs="Arial"/>
                <w:color w:val="000000"/>
                <w:sz w:val="16"/>
                <w:szCs w:val="16"/>
              </w:rPr>
            </w:pPr>
            <w:r>
              <w:rPr>
                <w:rFonts w:ascii="Arial" w:hAnsi="Arial" w:cs="Arial"/>
                <w:color w:val="000000"/>
                <w:sz w:val="16"/>
                <w:szCs w:val="16"/>
              </w:rPr>
              <w:t>2007</w:t>
            </w:r>
          </w:p>
        </w:tc>
        <w:tc>
          <w:tcPr>
            <w:tcW w:w="1680" w:type="dxa"/>
            <w:tcBorders>
              <w:top w:val="nil"/>
              <w:left w:val="nil"/>
              <w:bottom w:val="nil"/>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6,1</w:t>
            </w:r>
          </w:p>
        </w:tc>
        <w:tc>
          <w:tcPr>
            <w:tcW w:w="1680" w:type="dxa"/>
            <w:tcBorders>
              <w:top w:val="nil"/>
              <w:left w:val="nil"/>
              <w:bottom w:val="nil"/>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7,9</w:t>
            </w:r>
          </w:p>
        </w:tc>
        <w:tc>
          <w:tcPr>
            <w:tcW w:w="1680" w:type="dxa"/>
            <w:tcBorders>
              <w:top w:val="nil"/>
              <w:left w:val="nil"/>
              <w:bottom w:val="nil"/>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2,9</w:t>
            </w:r>
          </w:p>
        </w:tc>
        <w:tc>
          <w:tcPr>
            <w:tcW w:w="1680" w:type="dxa"/>
            <w:tcBorders>
              <w:top w:val="nil"/>
              <w:left w:val="nil"/>
              <w:bottom w:val="nil"/>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12,1</w:t>
            </w:r>
          </w:p>
        </w:tc>
      </w:tr>
      <w:tr w:rsidR="00E05336" w:rsidRPr="00E05336" w:rsidTr="00FC6A1B">
        <w:trPr>
          <w:trHeight w:val="227"/>
          <w:jc w:val="center"/>
        </w:trPr>
        <w:tc>
          <w:tcPr>
            <w:tcW w:w="1840" w:type="dxa"/>
            <w:tcBorders>
              <w:top w:val="nil"/>
              <w:left w:val="nil"/>
              <w:bottom w:val="nil"/>
              <w:right w:val="nil"/>
            </w:tcBorders>
            <w:shd w:val="clear" w:color="auto" w:fill="auto"/>
            <w:noWrap/>
            <w:vAlign w:val="center"/>
          </w:tcPr>
          <w:p w:rsidR="00E05336" w:rsidRDefault="00E05336" w:rsidP="00E05336">
            <w:pPr>
              <w:spacing w:after="0"/>
              <w:rPr>
                <w:rFonts w:ascii="Arial" w:hAnsi="Arial" w:cs="Arial"/>
                <w:color w:val="000000"/>
                <w:sz w:val="16"/>
                <w:szCs w:val="16"/>
              </w:rPr>
            </w:pPr>
            <w:r>
              <w:rPr>
                <w:rFonts w:ascii="Arial" w:hAnsi="Arial" w:cs="Arial"/>
                <w:color w:val="000000"/>
                <w:sz w:val="16"/>
                <w:szCs w:val="16"/>
              </w:rPr>
              <w:t>2012</w:t>
            </w:r>
          </w:p>
        </w:tc>
        <w:tc>
          <w:tcPr>
            <w:tcW w:w="1680" w:type="dxa"/>
            <w:tcBorders>
              <w:top w:val="nil"/>
              <w:left w:val="nil"/>
              <w:bottom w:val="nil"/>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10,7</w:t>
            </w:r>
          </w:p>
        </w:tc>
        <w:tc>
          <w:tcPr>
            <w:tcW w:w="1680" w:type="dxa"/>
            <w:tcBorders>
              <w:top w:val="nil"/>
              <w:left w:val="nil"/>
              <w:bottom w:val="nil"/>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14,1</w:t>
            </w:r>
          </w:p>
        </w:tc>
        <w:tc>
          <w:tcPr>
            <w:tcW w:w="1680" w:type="dxa"/>
            <w:tcBorders>
              <w:top w:val="nil"/>
              <w:left w:val="nil"/>
              <w:bottom w:val="nil"/>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4,2</w:t>
            </w:r>
          </w:p>
        </w:tc>
        <w:tc>
          <w:tcPr>
            <w:tcW w:w="1680" w:type="dxa"/>
            <w:tcBorders>
              <w:top w:val="nil"/>
              <w:left w:val="nil"/>
              <w:bottom w:val="nil"/>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20,9</w:t>
            </w:r>
          </w:p>
        </w:tc>
      </w:tr>
      <w:tr w:rsidR="00E05336" w:rsidRPr="00E05336" w:rsidTr="00FC6A1B">
        <w:trPr>
          <w:trHeight w:val="227"/>
          <w:jc w:val="center"/>
        </w:trPr>
        <w:tc>
          <w:tcPr>
            <w:tcW w:w="1840" w:type="dxa"/>
            <w:tcBorders>
              <w:top w:val="nil"/>
              <w:left w:val="nil"/>
              <w:bottom w:val="nil"/>
              <w:right w:val="nil"/>
            </w:tcBorders>
            <w:shd w:val="clear" w:color="auto" w:fill="auto"/>
            <w:noWrap/>
            <w:vAlign w:val="center"/>
          </w:tcPr>
          <w:p w:rsidR="00E05336" w:rsidRDefault="00E05336" w:rsidP="00E05336">
            <w:pPr>
              <w:spacing w:after="0"/>
              <w:rPr>
                <w:rFonts w:ascii="Arial" w:hAnsi="Arial" w:cs="Arial"/>
                <w:color w:val="000000"/>
                <w:sz w:val="16"/>
                <w:szCs w:val="16"/>
              </w:rPr>
            </w:pPr>
            <w:r>
              <w:rPr>
                <w:rFonts w:ascii="Arial" w:hAnsi="Arial" w:cs="Arial"/>
                <w:color w:val="000000"/>
                <w:sz w:val="16"/>
                <w:szCs w:val="16"/>
              </w:rPr>
              <w:t>2013</w:t>
            </w:r>
          </w:p>
        </w:tc>
        <w:tc>
          <w:tcPr>
            <w:tcW w:w="1680" w:type="dxa"/>
            <w:tcBorders>
              <w:top w:val="nil"/>
              <w:left w:val="nil"/>
              <w:bottom w:val="nil"/>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12,1</w:t>
            </w:r>
          </w:p>
        </w:tc>
        <w:tc>
          <w:tcPr>
            <w:tcW w:w="1680" w:type="dxa"/>
            <w:tcBorders>
              <w:top w:val="nil"/>
              <w:left w:val="nil"/>
              <w:bottom w:val="nil"/>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15,9</w:t>
            </w:r>
          </w:p>
        </w:tc>
        <w:tc>
          <w:tcPr>
            <w:tcW w:w="1680" w:type="dxa"/>
            <w:tcBorders>
              <w:top w:val="nil"/>
              <w:left w:val="nil"/>
              <w:bottom w:val="nil"/>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1,6</w:t>
            </w:r>
          </w:p>
        </w:tc>
        <w:tc>
          <w:tcPr>
            <w:tcW w:w="1680" w:type="dxa"/>
            <w:tcBorders>
              <w:top w:val="nil"/>
              <w:left w:val="nil"/>
              <w:bottom w:val="nil"/>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21,3</w:t>
            </w:r>
          </w:p>
        </w:tc>
      </w:tr>
      <w:tr w:rsidR="00E05336" w:rsidRPr="00E05336" w:rsidTr="00FC6A1B">
        <w:trPr>
          <w:trHeight w:val="227"/>
          <w:jc w:val="center"/>
        </w:trPr>
        <w:tc>
          <w:tcPr>
            <w:tcW w:w="1840" w:type="dxa"/>
            <w:tcBorders>
              <w:top w:val="nil"/>
              <w:left w:val="nil"/>
              <w:bottom w:val="nil"/>
              <w:right w:val="nil"/>
            </w:tcBorders>
            <w:shd w:val="clear" w:color="auto" w:fill="auto"/>
            <w:noWrap/>
            <w:vAlign w:val="center"/>
          </w:tcPr>
          <w:p w:rsidR="00E05336" w:rsidRDefault="00E05336" w:rsidP="00E05336">
            <w:pPr>
              <w:spacing w:after="0"/>
              <w:rPr>
                <w:rFonts w:ascii="Arial" w:hAnsi="Arial" w:cs="Arial"/>
                <w:color w:val="000000"/>
                <w:sz w:val="16"/>
                <w:szCs w:val="16"/>
              </w:rPr>
            </w:pPr>
            <w:r>
              <w:rPr>
                <w:rFonts w:ascii="Arial" w:hAnsi="Arial" w:cs="Arial"/>
                <w:color w:val="000000"/>
                <w:sz w:val="16"/>
                <w:szCs w:val="16"/>
              </w:rPr>
              <w:t>2014</w:t>
            </w:r>
          </w:p>
        </w:tc>
        <w:tc>
          <w:tcPr>
            <w:tcW w:w="1680" w:type="dxa"/>
            <w:tcBorders>
              <w:top w:val="nil"/>
              <w:left w:val="nil"/>
              <w:bottom w:val="nil"/>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12,6</w:t>
            </w:r>
          </w:p>
        </w:tc>
        <w:tc>
          <w:tcPr>
            <w:tcW w:w="1680" w:type="dxa"/>
            <w:tcBorders>
              <w:top w:val="nil"/>
              <w:left w:val="nil"/>
              <w:bottom w:val="nil"/>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16,5</w:t>
            </w:r>
          </w:p>
        </w:tc>
        <w:tc>
          <w:tcPr>
            <w:tcW w:w="1680" w:type="dxa"/>
            <w:tcBorders>
              <w:top w:val="nil"/>
              <w:left w:val="nil"/>
              <w:bottom w:val="nil"/>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0,3</w:t>
            </w:r>
          </w:p>
        </w:tc>
        <w:tc>
          <w:tcPr>
            <w:tcW w:w="1680" w:type="dxa"/>
            <w:tcBorders>
              <w:top w:val="nil"/>
              <w:left w:val="nil"/>
              <w:bottom w:val="nil"/>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21,1</w:t>
            </w:r>
          </w:p>
        </w:tc>
      </w:tr>
      <w:tr w:rsidR="00E05336" w:rsidRPr="00E05336" w:rsidTr="00FC6A1B">
        <w:trPr>
          <w:trHeight w:val="227"/>
          <w:jc w:val="center"/>
        </w:trPr>
        <w:tc>
          <w:tcPr>
            <w:tcW w:w="1840" w:type="dxa"/>
            <w:tcBorders>
              <w:top w:val="nil"/>
              <w:left w:val="nil"/>
              <w:bottom w:val="nil"/>
              <w:right w:val="nil"/>
            </w:tcBorders>
            <w:shd w:val="clear" w:color="auto" w:fill="auto"/>
            <w:noWrap/>
            <w:vAlign w:val="center"/>
          </w:tcPr>
          <w:p w:rsidR="00E05336" w:rsidRDefault="00E05336" w:rsidP="00E05336">
            <w:pPr>
              <w:spacing w:after="0"/>
              <w:rPr>
                <w:rFonts w:ascii="Arial" w:hAnsi="Arial" w:cs="Arial"/>
                <w:color w:val="000000"/>
                <w:sz w:val="16"/>
                <w:szCs w:val="16"/>
              </w:rPr>
            </w:pPr>
            <w:r>
              <w:rPr>
                <w:rFonts w:ascii="Arial" w:hAnsi="Arial" w:cs="Arial"/>
                <w:color w:val="000000"/>
                <w:sz w:val="16"/>
                <w:szCs w:val="16"/>
              </w:rPr>
              <w:t>2015</w:t>
            </w:r>
          </w:p>
        </w:tc>
        <w:tc>
          <w:tcPr>
            <w:tcW w:w="1680" w:type="dxa"/>
            <w:tcBorders>
              <w:top w:val="nil"/>
              <w:left w:val="nil"/>
              <w:bottom w:val="nil"/>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11,9</w:t>
            </w:r>
          </w:p>
        </w:tc>
        <w:tc>
          <w:tcPr>
            <w:tcW w:w="1680" w:type="dxa"/>
            <w:tcBorders>
              <w:top w:val="nil"/>
              <w:left w:val="nil"/>
              <w:bottom w:val="nil"/>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15,6</w:t>
            </w:r>
          </w:p>
        </w:tc>
        <w:tc>
          <w:tcPr>
            <w:tcW w:w="1680" w:type="dxa"/>
            <w:tcBorders>
              <w:top w:val="nil"/>
              <w:left w:val="nil"/>
              <w:bottom w:val="nil"/>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-0,2</w:t>
            </w:r>
          </w:p>
        </w:tc>
        <w:tc>
          <w:tcPr>
            <w:tcW w:w="1680" w:type="dxa"/>
            <w:tcBorders>
              <w:top w:val="nil"/>
              <w:left w:val="nil"/>
              <w:bottom w:val="nil"/>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19,6</w:t>
            </w:r>
          </w:p>
        </w:tc>
      </w:tr>
      <w:tr w:rsidR="00E05336" w:rsidRPr="00E05336" w:rsidTr="00FC6A1B">
        <w:trPr>
          <w:trHeight w:val="227"/>
          <w:jc w:val="center"/>
        </w:trPr>
        <w:tc>
          <w:tcPr>
            <w:tcW w:w="1840" w:type="dxa"/>
            <w:tcBorders>
              <w:top w:val="nil"/>
              <w:left w:val="nil"/>
              <w:right w:val="nil"/>
            </w:tcBorders>
            <w:shd w:val="clear" w:color="auto" w:fill="auto"/>
            <w:noWrap/>
            <w:vAlign w:val="center"/>
          </w:tcPr>
          <w:p w:rsidR="00E05336" w:rsidRDefault="00E05336" w:rsidP="00E05336">
            <w:pPr>
              <w:spacing w:after="0"/>
              <w:rPr>
                <w:rFonts w:ascii="Arial" w:hAnsi="Arial" w:cs="Arial"/>
                <w:color w:val="000000"/>
                <w:sz w:val="16"/>
                <w:szCs w:val="16"/>
              </w:rPr>
            </w:pPr>
            <w:r>
              <w:rPr>
                <w:rFonts w:ascii="Arial" w:hAnsi="Arial" w:cs="Arial"/>
                <w:color w:val="000000"/>
                <w:sz w:val="16"/>
                <w:szCs w:val="16"/>
              </w:rPr>
              <w:t>2016</w:t>
            </w:r>
          </w:p>
        </w:tc>
        <w:tc>
          <w:tcPr>
            <w:tcW w:w="1680" w:type="dxa"/>
            <w:tcBorders>
              <w:top w:val="nil"/>
              <w:left w:val="nil"/>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11,7</w:t>
            </w:r>
          </w:p>
        </w:tc>
        <w:tc>
          <w:tcPr>
            <w:tcW w:w="1680" w:type="dxa"/>
            <w:tcBorders>
              <w:top w:val="nil"/>
              <w:left w:val="nil"/>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14,8</w:t>
            </w:r>
          </w:p>
        </w:tc>
        <w:tc>
          <w:tcPr>
            <w:tcW w:w="1680" w:type="dxa"/>
            <w:tcBorders>
              <w:top w:val="nil"/>
              <w:left w:val="nil"/>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-0,1</w:t>
            </w:r>
          </w:p>
        </w:tc>
        <w:tc>
          <w:tcPr>
            <w:tcW w:w="1680" w:type="dxa"/>
            <w:tcBorders>
              <w:top w:val="nil"/>
              <w:left w:val="nil"/>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18,7</w:t>
            </w:r>
          </w:p>
        </w:tc>
      </w:tr>
      <w:tr w:rsidR="00E05336" w:rsidRPr="00E05336" w:rsidTr="00FC6A1B">
        <w:trPr>
          <w:trHeight w:val="227"/>
          <w:jc w:val="center"/>
        </w:trPr>
        <w:tc>
          <w:tcPr>
            <w:tcW w:w="1840" w:type="dxa"/>
            <w:tcBorders>
              <w:top w:val="nil"/>
              <w:left w:val="nil"/>
              <w:right w:val="nil"/>
            </w:tcBorders>
            <w:shd w:val="clear" w:color="auto" w:fill="auto"/>
            <w:noWrap/>
            <w:vAlign w:val="center"/>
          </w:tcPr>
          <w:p w:rsidR="00E05336" w:rsidRDefault="00E05336" w:rsidP="00E05336">
            <w:pPr>
              <w:spacing w:after="0"/>
              <w:rPr>
                <w:rFonts w:ascii="Arial" w:hAnsi="Arial" w:cs="Arial"/>
                <w:color w:val="000000"/>
                <w:sz w:val="16"/>
                <w:szCs w:val="16"/>
              </w:rPr>
            </w:pPr>
            <w:r>
              <w:rPr>
                <w:rFonts w:ascii="Arial" w:hAnsi="Arial" w:cs="Arial"/>
                <w:color w:val="000000"/>
                <w:sz w:val="16"/>
                <w:szCs w:val="16"/>
              </w:rPr>
              <w:t>2016- III trim.</w:t>
            </w:r>
          </w:p>
        </w:tc>
        <w:tc>
          <w:tcPr>
            <w:tcW w:w="1680" w:type="dxa"/>
            <w:tcBorders>
              <w:top w:val="nil"/>
              <w:left w:val="nil"/>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11,6</w:t>
            </w:r>
          </w:p>
        </w:tc>
        <w:tc>
          <w:tcPr>
            <w:tcW w:w="1680" w:type="dxa"/>
            <w:tcBorders>
              <w:top w:val="nil"/>
              <w:left w:val="nil"/>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14,7</w:t>
            </w:r>
          </w:p>
        </w:tc>
        <w:tc>
          <w:tcPr>
            <w:tcW w:w="1680" w:type="dxa"/>
            <w:tcBorders>
              <w:top w:val="nil"/>
              <w:left w:val="nil"/>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0,1</w:t>
            </w:r>
          </w:p>
        </w:tc>
        <w:tc>
          <w:tcPr>
            <w:tcW w:w="1680" w:type="dxa"/>
            <w:tcBorders>
              <w:top w:val="nil"/>
              <w:left w:val="nil"/>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18,6</w:t>
            </w:r>
          </w:p>
        </w:tc>
      </w:tr>
      <w:tr w:rsidR="00E05336" w:rsidRPr="00E05336" w:rsidTr="00FC6A1B">
        <w:trPr>
          <w:trHeight w:val="227"/>
          <w:jc w:val="center"/>
        </w:trPr>
        <w:tc>
          <w:tcPr>
            <w:tcW w:w="1840" w:type="dxa"/>
            <w:tcBorders>
              <w:left w:val="nil"/>
              <w:bottom w:val="single" w:sz="4" w:space="0" w:color="auto"/>
              <w:right w:val="nil"/>
            </w:tcBorders>
            <w:shd w:val="clear" w:color="auto" w:fill="auto"/>
            <w:noWrap/>
            <w:vAlign w:val="center"/>
          </w:tcPr>
          <w:p w:rsidR="00E05336" w:rsidRDefault="00E05336" w:rsidP="00E05336">
            <w:pPr>
              <w:spacing w:after="0"/>
              <w:rPr>
                <w:rFonts w:ascii="Arial" w:hAnsi="Arial" w:cs="Arial"/>
                <w:color w:val="000000"/>
                <w:sz w:val="16"/>
                <w:szCs w:val="16"/>
              </w:rPr>
            </w:pPr>
            <w:r>
              <w:rPr>
                <w:rFonts w:ascii="Arial" w:hAnsi="Arial" w:cs="Arial"/>
                <w:color w:val="000000"/>
                <w:sz w:val="16"/>
                <w:szCs w:val="16"/>
              </w:rPr>
              <w:t>2016-IV trim.</w:t>
            </w:r>
          </w:p>
        </w:tc>
        <w:tc>
          <w:tcPr>
            <w:tcW w:w="1680" w:type="dxa"/>
            <w:tcBorders>
              <w:left w:val="nil"/>
              <w:bottom w:val="single" w:sz="4" w:space="0" w:color="auto"/>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11,9</w:t>
            </w:r>
          </w:p>
        </w:tc>
        <w:tc>
          <w:tcPr>
            <w:tcW w:w="1680" w:type="dxa"/>
            <w:tcBorders>
              <w:left w:val="nil"/>
              <w:bottom w:val="single" w:sz="4" w:space="0" w:color="auto"/>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14,8</w:t>
            </w:r>
          </w:p>
        </w:tc>
        <w:tc>
          <w:tcPr>
            <w:tcW w:w="1680" w:type="dxa"/>
            <w:tcBorders>
              <w:left w:val="nil"/>
              <w:bottom w:val="single" w:sz="4" w:space="0" w:color="auto"/>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0,6</w:t>
            </w:r>
          </w:p>
        </w:tc>
        <w:tc>
          <w:tcPr>
            <w:tcW w:w="1680" w:type="dxa"/>
            <w:tcBorders>
              <w:left w:val="nil"/>
              <w:bottom w:val="single" w:sz="4" w:space="0" w:color="auto"/>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19,1</w:t>
            </w:r>
          </w:p>
        </w:tc>
      </w:tr>
      <w:tr w:rsidR="00E05336" w:rsidRPr="00E05336" w:rsidTr="00FC6A1B">
        <w:trPr>
          <w:trHeight w:val="227"/>
          <w:jc w:val="center"/>
        </w:trPr>
        <w:tc>
          <w:tcPr>
            <w:tcW w:w="1840" w:type="dxa"/>
            <w:tcBorders>
              <w:top w:val="single" w:sz="4" w:space="0" w:color="auto"/>
              <w:left w:val="nil"/>
              <w:right w:val="nil"/>
            </w:tcBorders>
            <w:shd w:val="clear" w:color="auto" w:fill="auto"/>
            <w:noWrap/>
            <w:vAlign w:val="center"/>
          </w:tcPr>
          <w:p w:rsidR="00E05336" w:rsidRDefault="00E05336" w:rsidP="00E05336">
            <w:pPr>
              <w:spacing w:after="0"/>
              <w:rPr>
                <w:rFonts w:ascii="Arial" w:hAnsi="Arial" w:cs="Arial"/>
                <w:color w:val="000000"/>
                <w:sz w:val="16"/>
                <w:szCs w:val="16"/>
              </w:rPr>
            </w:pPr>
            <w:r>
              <w:rPr>
                <w:rFonts w:ascii="Arial" w:hAnsi="Arial" w:cs="Arial"/>
                <w:color w:val="000000"/>
                <w:sz w:val="16"/>
                <w:szCs w:val="16"/>
              </w:rPr>
              <w:t>2016-Marzo</w:t>
            </w:r>
          </w:p>
        </w:tc>
        <w:tc>
          <w:tcPr>
            <w:tcW w:w="1680" w:type="dxa"/>
            <w:tcBorders>
              <w:top w:val="single" w:sz="4" w:space="0" w:color="auto"/>
              <w:left w:val="nil"/>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11,5</w:t>
            </w:r>
          </w:p>
        </w:tc>
        <w:tc>
          <w:tcPr>
            <w:tcW w:w="1680" w:type="dxa"/>
            <w:tcBorders>
              <w:top w:val="single" w:sz="4" w:space="0" w:color="auto"/>
              <w:left w:val="nil"/>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14,8</w:t>
            </w:r>
          </w:p>
        </w:tc>
        <w:tc>
          <w:tcPr>
            <w:tcW w:w="1680" w:type="dxa"/>
            <w:tcBorders>
              <w:top w:val="single" w:sz="4" w:space="0" w:color="auto"/>
              <w:left w:val="nil"/>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-1,1</w:t>
            </w:r>
          </w:p>
        </w:tc>
        <w:tc>
          <w:tcPr>
            <w:tcW w:w="1680" w:type="dxa"/>
            <w:tcBorders>
              <w:top w:val="single" w:sz="4" w:space="0" w:color="auto"/>
              <w:left w:val="nil"/>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18,0</w:t>
            </w:r>
          </w:p>
        </w:tc>
      </w:tr>
      <w:tr w:rsidR="00E05336" w:rsidRPr="00E05336" w:rsidTr="00FC6A1B">
        <w:trPr>
          <w:trHeight w:val="227"/>
          <w:jc w:val="center"/>
        </w:trPr>
        <w:tc>
          <w:tcPr>
            <w:tcW w:w="1840" w:type="dxa"/>
            <w:tcBorders>
              <w:left w:val="nil"/>
              <w:bottom w:val="nil"/>
              <w:right w:val="nil"/>
            </w:tcBorders>
            <w:shd w:val="clear" w:color="auto" w:fill="auto"/>
            <w:noWrap/>
            <w:vAlign w:val="center"/>
          </w:tcPr>
          <w:p w:rsidR="00E05336" w:rsidRDefault="00E05336" w:rsidP="00E05336">
            <w:pPr>
              <w:spacing w:after="0"/>
              <w:rPr>
                <w:rFonts w:ascii="Arial" w:hAnsi="Arial" w:cs="Arial"/>
                <w:color w:val="000000"/>
                <w:sz w:val="16"/>
                <w:szCs w:val="16"/>
              </w:rPr>
            </w:pPr>
            <w:r>
              <w:rPr>
                <w:rFonts w:ascii="Arial" w:hAnsi="Arial" w:cs="Arial"/>
                <w:color w:val="000000"/>
                <w:sz w:val="16"/>
                <w:szCs w:val="16"/>
              </w:rPr>
              <w:t>2016-Aprile</w:t>
            </w:r>
          </w:p>
        </w:tc>
        <w:tc>
          <w:tcPr>
            <w:tcW w:w="1680" w:type="dxa"/>
            <w:tcBorders>
              <w:left w:val="nil"/>
              <w:bottom w:val="nil"/>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11,6</w:t>
            </w:r>
          </w:p>
        </w:tc>
        <w:tc>
          <w:tcPr>
            <w:tcW w:w="1680" w:type="dxa"/>
            <w:tcBorders>
              <w:left w:val="nil"/>
              <w:bottom w:val="nil"/>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14,9</w:t>
            </w:r>
          </w:p>
        </w:tc>
        <w:tc>
          <w:tcPr>
            <w:tcW w:w="1680" w:type="dxa"/>
            <w:tcBorders>
              <w:left w:val="nil"/>
              <w:bottom w:val="nil"/>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-0,9</w:t>
            </w:r>
          </w:p>
        </w:tc>
        <w:tc>
          <w:tcPr>
            <w:tcW w:w="1680" w:type="dxa"/>
            <w:tcBorders>
              <w:left w:val="nil"/>
              <w:bottom w:val="nil"/>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18,2</w:t>
            </w:r>
          </w:p>
        </w:tc>
      </w:tr>
      <w:tr w:rsidR="00E05336" w:rsidRPr="00E05336" w:rsidTr="00FC6A1B">
        <w:trPr>
          <w:trHeight w:val="227"/>
          <w:jc w:val="center"/>
        </w:trPr>
        <w:tc>
          <w:tcPr>
            <w:tcW w:w="1840" w:type="dxa"/>
            <w:tcBorders>
              <w:top w:val="nil"/>
              <w:left w:val="nil"/>
              <w:bottom w:val="nil"/>
              <w:right w:val="nil"/>
            </w:tcBorders>
            <w:shd w:val="clear" w:color="auto" w:fill="auto"/>
            <w:noWrap/>
            <w:vAlign w:val="center"/>
          </w:tcPr>
          <w:p w:rsidR="00E05336" w:rsidRDefault="00E05336" w:rsidP="00E05336">
            <w:pPr>
              <w:spacing w:after="0"/>
              <w:rPr>
                <w:rFonts w:ascii="Arial" w:hAnsi="Arial" w:cs="Arial"/>
                <w:color w:val="000000"/>
                <w:sz w:val="16"/>
                <w:szCs w:val="16"/>
              </w:rPr>
            </w:pPr>
            <w:r>
              <w:rPr>
                <w:rFonts w:ascii="Arial" w:hAnsi="Arial" w:cs="Arial"/>
                <w:color w:val="000000"/>
                <w:sz w:val="16"/>
                <w:szCs w:val="16"/>
              </w:rPr>
              <w:t>2016-Maggio</w:t>
            </w:r>
          </w:p>
        </w:tc>
        <w:tc>
          <w:tcPr>
            <w:tcW w:w="1680" w:type="dxa"/>
            <w:tcBorders>
              <w:top w:val="nil"/>
              <w:left w:val="nil"/>
              <w:bottom w:val="nil"/>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11,5</w:t>
            </w:r>
          </w:p>
        </w:tc>
        <w:tc>
          <w:tcPr>
            <w:tcW w:w="1680" w:type="dxa"/>
            <w:tcBorders>
              <w:top w:val="nil"/>
              <w:left w:val="nil"/>
              <w:bottom w:val="nil"/>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14,8</w:t>
            </w:r>
          </w:p>
        </w:tc>
        <w:tc>
          <w:tcPr>
            <w:tcW w:w="1680" w:type="dxa"/>
            <w:tcBorders>
              <w:top w:val="nil"/>
              <w:left w:val="nil"/>
              <w:bottom w:val="nil"/>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-0,6</w:t>
            </w:r>
          </w:p>
        </w:tc>
        <w:tc>
          <w:tcPr>
            <w:tcW w:w="1680" w:type="dxa"/>
            <w:tcBorders>
              <w:top w:val="nil"/>
              <w:left w:val="nil"/>
              <w:bottom w:val="nil"/>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18,2</w:t>
            </w:r>
          </w:p>
        </w:tc>
      </w:tr>
      <w:tr w:rsidR="00E05336" w:rsidRPr="00E05336" w:rsidTr="00FC6A1B">
        <w:trPr>
          <w:trHeight w:val="227"/>
          <w:jc w:val="center"/>
        </w:trPr>
        <w:tc>
          <w:tcPr>
            <w:tcW w:w="1840" w:type="dxa"/>
            <w:tcBorders>
              <w:top w:val="nil"/>
              <w:left w:val="nil"/>
              <w:bottom w:val="nil"/>
              <w:right w:val="nil"/>
            </w:tcBorders>
            <w:shd w:val="clear" w:color="auto" w:fill="auto"/>
            <w:noWrap/>
            <w:vAlign w:val="center"/>
          </w:tcPr>
          <w:p w:rsidR="00E05336" w:rsidRDefault="00E05336" w:rsidP="00E05336">
            <w:pPr>
              <w:spacing w:after="0"/>
              <w:rPr>
                <w:rFonts w:ascii="Arial" w:hAnsi="Arial" w:cs="Arial"/>
                <w:color w:val="000000"/>
                <w:sz w:val="16"/>
                <w:szCs w:val="16"/>
              </w:rPr>
            </w:pPr>
            <w:r>
              <w:rPr>
                <w:rFonts w:ascii="Arial" w:hAnsi="Arial" w:cs="Arial"/>
                <w:color w:val="000000"/>
                <w:sz w:val="16"/>
                <w:szCs w:val="16"/>
              </w:rPr>
              <w:t>2016-Giugno</w:t>
            </w:r>
          </w:p>
        </w:tc>
        <w:tc>
          <w:tcPr>
            <w:tcW w:w="1680" w:type="dxa"/>
            <w:tcBorders>
              <w:top w:val="nil"/>
              <w:left w:val="nil"/>
              <w:bottom w:val="nil"/>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11,6</w:t>
            </w:r>
          </w:p>
        </w:tc>
        <w:tc>
          <w:tcPr>
            <w:tcW w:w="1680" w:type="dxa"/>
            <w:tcBorders>
              <w:top w:val="nil"/>
              <w:left w:val="nil"/>
              <w:bottom w:val="nil"/>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14,8</w:t>
            </w:r>
          </w:p>
        </w:tc>
        <w:tc>
          <w:tcPr>
            <w:tcW w:w="1680" w:type="dxa"/>
            <w:tcBorders>
              <w:top w:val="nil"/>
              <w:left w:val="nil"/>
              <w:bottom w:val="nil"/>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-0,2</w:t>
            </w:r>
          </w:p>
        </w:tc>
        <w:tc>
          <w:tcPr>
            <w:tcW w:w="1680" w:type="dxa"/>
            <w:tcBorders>
              <w:top w:val="nil"/>
              <w:left w:val="nil"/>
              <w:bottom w:val="nil"/>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18,6</w:t>
            </w:r>
          </w:p>
        </w:tc>
      </w:tr>
      <w:tr w:rsidR="00E05336" w:rsidRPr="00E05336" w:rsidTr="00FC6A1B">
        <w:trPr>
          <w:trHeight w:val="227"/>
          <w:jc w:val="center"/>
        </w:trPr>
        <w:tc>
          <w:tcPr>
            <w:tcW w:w="1840" w:type="dxa"/>
            <w:tcBorders>
              <w:top w:val="nil"/>
              <w:left w:val="nil"/>
              <w:bottom w:val="nil"/>
              <w:right w:val="nil"/>
            </w:tcBorders>
            <w:shd w:val="clear" w:color="auto" w:fill="auto"/>
            <w:noWrap/>
            <w:vAlign w:val="center"/>
          </w:tcPr>
          <w:p w:rsidR="00E05336" w:rsidRDefault="00E05336" w:rsidP="00E05336">
            <w:pPr>
              <w:spacing w:after="0"/>
              <w:rPr>
                <w:rFonts w:ascii="Arial" w:hAnsi="Arial" w:cs="Arial"/>
                <w:color w:val="000000"/>
                <w:sz w:val="16"/>
                <w:szCs w:val="16"/>
              </w:rPr>
            </w:pPr>
            <w:r>
              <w:rPr>
                <w:rFonts w:ascii="Arial" w:hAnsi="Arial" w:cs="Arial"/>
                <w:color w:val="000000"/>
                <w:sz w:val="16"/>
                <w:szCs w:val="16"/>
              </w:rPr>
              <w:t>2016-Luglio</w:t>
            </w:r>
          </w:p>
        </w:tc>
        <w:tc>
          <w:tcPr>
            <w:tcW w:w="1680" w:type="dxa"/>
            <w:tcBorders>
              <w:top w:val="nil"/>
              <w:left w:val="nil"/>
              <w:bottom w:val="nil"/>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11,5</w:t>
            </w:r>
          </w:p>
        </w:tc>
        <w:tc>
          <w:tcPr>
            <w:tcW w:w="1680" w:type="dxa"/>
            <w:tcBorders>
              <w:top w:val="nil"/>
              <w:left w:val="nil"/>
              <w:bottom w:val="nil"/>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14,7</w:t>
            </w:r>
          </w:p>
        </w:tc>
        <w:tc>
          <w:tcPr>
            <w:tcW w:w="1680" w:type="dxa"/>
            <w:tcBorders>
              <w:top w:val="nil"/>
              <w:left w:val="nil"/>
              <w:bottom w:val="nil"/>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-0,1</w:t>
            </w:r>
          </w:p>
        </w:tc>
        <w:tc>
          <w:tcPr>
            <w:tcW w:w="1680" w:type="dxa"/>
            <w:tcBorders>
              <w:top w:val="nil"/>
              <w:left w:val="nil"/>
              <w:bottom w:val="nil"/>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18,5</w:t>
            </w:r>
          </w:p>
        </w:tc>
      </w:tr>
      <w:tr w:rsidR="00E05336" w:rsidRPr="00E05336" w:rsidTr="00FC6A1B">
        <w:trPr>
          <w:trHeight w:val="227"/>
          <w:jc w:val="center"/>
        </w:trPr>
        <w:tc>
          <w:tcPr>
            <w:tcW w:w="1840" w:type="dxa"/>
            <w:tcBorders>
              <w:top w:val="nil"/>
              <w:left w:val="nil"/>
              <w:bottom w:val="nil"/>
              <w:right w:val="nil"/>
            </w:tcBorders>
            <w:shd w:val="clear" w:color="auto" w:fill="auto"/>
            <w:noWrap/>
            <w:vAlign w:val="center"/>
          </w:tcPr>
          <w:p w:rsidR="00E05336" w:rsidRDefault="00E05336" w:rsidP="00E05336">
            <w:pPr>
              <w:spacing w:after="0"/>
              <w:rPr>
                <w:rFonts w:ascii="Arial" w:hAnsi="Arial" w:cs="Arial"/>
                <w:color w:val="000000"/>
                <w:sz w:val="16"/>
                <w:szCs w:val="16"/>
              </w:rPr>
            </w:pPr>
            <w:r>
              <w:rPr>
                <w:rFonts w:ascii="Arial" w:hAnsi="Arial" w:cs="Arial"/>
                <w:color w:val="000000"/>
                <w:sz w:val="16"/>
                <w:szCs w:val="16"/>
              </w:rPr>
              <w:t>2016-Agosto</w:t>
            </w:r>
          </w:p>
        </w:tc>
        <w:tc>
          <w:tcPr>
            <w:tcW w:w="1680" w:type="dxa"/>
            <w:tcBorders>
              <w:top w:val="nil"/>
              <w:left w:val="nil"/>
              <w:bottom w:val="nil"/>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11,5</w:t>
            </w:r>
          </w:p>
        </w:tc>
        <w:tc>
          <w:tcPr>
            <w:tcW w:w="1680" w:type="dxa"/>
            <w:tcBorders>
              <w:top w:val="nil"/>
              <w:left w:val="nil"/>
              <w:bottom w:val="nil"/>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14,6</w:t>
            </w:r>
          </w:p>
        </w:tc>
        <w:tc>
          <w:tcPr>
            <w:tcW w:w="1680" w:type="dxa"/>
            <w:tcBorders>
              <w:top w:val="nil"/>
              <w:left w:val="nil"/>
              <w:bottom w:val="nil"/>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0,1</w:t>
            </w:r>
          </w:p>
        </w:tc>
        <w:tc>
          <w:tcPr>
            <w:tcW w:w="1680" w:type="dxa"/>
            <w:tcBorders>
              <w:top w:val="nil"/>
              <w:left w:val="nil"/>
              <w:bottom w:val="nil"/>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18,6</w:t>
            </w:r>
          </w:p>
        </w:tc>
      </w:tr>
      <w:tr w:rsidR="00E05336" w:rsidRPr="00E05336" w:rsidTr="00FC6A1B">
        <w:trPr>
          <w:trHeight w:val="227"/>
          <w:jc w:val="center"/>
        </w:trPr>
        <w:tc>
          <w:tcPr>
            <w:tcW w:w="1840" w:type="dxa"/>
            <w:tcBorders>
              <w:top w:val="nil"/>
              <w:left w:val="nil"/>
              <w:bottom w:val="nil"/>
              <w:right w:val="nil"/>
            </w:tcBorders>
            <w:shd w:val="clear" w:color="auto" w:fill="auto"/>
            <w:noWrap/>
            <w:vAlign w:val="center"/>
          </w:tcPr>
          <w:p w:rsidR="00E05336" w:rsidRDefault="00E05336" w:rsidP="00E05336">
            <w:pPr>
              <w:spacing w:after="0"/>
              <w:rPr>
                <w:rFonts w:ascii="Arial" w:hAnsi="Arial" w:cs="Arial"/>
                <w:color w:val="000000"/>
                <w:sz w:val="16"/>
                <w:szCs w:val="16"/>
              </w:rPr>
            </w:pPr>
            <w:r>
              <w:rPr>
                <w:rFonts w:ascii="Arial" w:hAnsi="Arial" w:cs="Arial"/>
                <w:color w:val="000000"/>
                <w:sz w:val="16"/>
                <w:szCs w:val="16"/>
              </w:rPr>
              <w:t>2016-Settembre</w:t>
            </w:r>
          </w:p>
        </w:tc>
        <w:tc>
          <w:tcPr>
            <w:tcW w:w="1680" w:type="dxa"/>
            <w:tcBorders>
              <w:top w:val="nil"/>
              <w:left w:val="nil"/>
              <w:bottom w:val="nil"/>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11,8</w:t>
            </w:r>
          </w:p>
        </w:tc>
        <w:tc>
          <w:tcPr>
            <w:tcW w:w="1680" w:type="dxa"/>
            <w:tcBorders>
              <w:top w:val="nil"/>
              <w:left w:val="nil"/>
              <w:bottom w:val="nil"/>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14,8</w:t>
            </w:r>
          </w:p>
        </w:tc>
        <w:tc>
          <w:tcPr>
            <w:tcW w:w="1680" w:type="dxa"/>
            <w:tcBorders>
              <w:top w:val="nil"/>
              <w:left w:val="nil"/>
              <w:bottom w:val="nil"/>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0,2</w:t>
            </w:r>
          </w:p>
        </w:tc>
        <w:tc>
          <w:tcPr>
            <w:tcW w:w="1680" w:type="dxa"/>
            <w:tcBorders>
              <w:top w:val="nil"/>
              <w:left w:val="nil"/>
              <w:bottom w:val="nil"/>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18,8</w:t>
            </w:r>
          </w:p>
        </w:tc>
      </w:tr>
      <w:tr w:rsidR="00E05336" w:rsidRPr="00E05336" w:rsidTr="00FC6A1B">
        <w:trPr>
          <w:trHeight w:val="227"/>
          <w:jc w:val="center"/>
        </w:trPr>
        <w:tc>
          <w:tcPr>
            <w:tcW w:w="1840" w:type="dxa"/>
            <w:tcBorders>
              <w:top w:val="nil"/>
              <w:left w:val="nil"/>
              <w:right w:val="nil"/>
            </w:tcBorders>
            <w:shd w:val="clear" w:color="auto" w:fill="auto"/>
            <w:noWrap/>
            <w:vAlign w:val="center"/>
          </w:tcPr>
          <w:p w:rsidR="00E05336" w:rsidRDefault="00E05336" w:rsidP="00E05336">
            <w:pPr>
              <w:spacing w:after="0"/>
              <w:rPr>
                <w:rFonts w:ascii="Arial" w:hAnsi="Arial" w:cs="Arial"/>
                <w:color w:val="000000"/>
                <w:sz w:val="16"/>
                <w:szCs w:val="16"/>
              </w:rPr>
            </w:pPr>
            <w:r>
              <w:rPr>
                <w:rFonts w:ascii="Arial" w:hAnsi="Arial" w:cs="Arial"/>
                <w:color w:val="000000"/>
                <w:sz w:val="16"/>
                <w:szCs w:val="16"/>
              </w:rPr>
              <w:t>2016-Ottobre</w:t>
            </w:r>
          </w:p>
        </w:tc>
        <w:tc>
          <w:tcPr>
            <w:tcW w:w="1680" w:type="dxa"/>
            <w:tcBorders>
              <w:top w:val="nil"/>
              <w:left w:val="nil"/>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11,7</w:t>
            </w:r>
          </w:p>
        </w:tc>
        <w:tc>
          <w:tcPr>
            <w:tcW w:w="1680" w:type="dxa"/>
            <w:tcBorders>
              <w:top w:val="nil"/>
              <w:left w:val="nil"/>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14,7</w:t>
            </w:r>
          </w:p>
        </w:tc>
        <w:tc>
          <w:tcPr>
            <w:tcW w:w="1680" w:type="dxa"/>
            <w:tcBorders>
              <w:top w:val="nil"/>
              <w:left w:val="nil"/>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0,2</w:t>
            </w:r>
          </w:p>
        </w:tc>
        <w:tc>
          <w:tcPr>
            <w:tcW w:w="1680" w:type="dxa"/>
            <w:tcBorders>
              <w:top w:val="nil"/>
              <w:left w:val="nil"/>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18,7</w:t>
            </w:r>
          </w:p>
        </w:tc>
      </w:tr>
      <w:tr w:rsidR="00E05336" w:rsidRPr="00E05336" w:rsidTr="00FC6A1B">
        <w:trPr>
          <w:trHeight w:val="227"/>
          <w:jc w:val="center"/>
        </w:trPr>
        <w:tc>
          <w:tcPr>
            <w:tcW w:w="1840" w:type="dxa"/>
            <w:tcBorders>
              <w:top w:val="nil"/>
              <w:left w:val="nil"/>
              <w:right w:val="nil"/>
            </w:tcBorders>
            <w:shd w:val="clear" w:color="auto" w:fill="auto"/>
            <w:noWrap/>
            <w:vAlign w:val="center"/>
          </w:tcPr>
          <w:p w:rsidR="00E05336" w:rsidRDefault="00E05336" w:rsidP="00E05336">
            <w:pPr>
              <w:spacing w:after="0"/>
              <w:rPr>
                <w:rFonts w:ascii="Arial" w:hAnsi="Arial" w:cs="Arial"/>
                <w:color w:val="000000"/>
                <w:sz w:val="16"/>
                <w:szCs w:val="16"/>
              </w:rPr>
            </w:pPr>
            <w:r>
              <w:rPr>
                <w:rFonts w:ascii="Arial" w:hAnsi="Arial" w:cs="Arial"/>
                <w:color w:val="000000"/>
                <w:sz w:val="16"/>
                <w:szCs w:val="16"/>
              </w:rPr>
              <w:t>2016-Novembre</w:t>
            </w:r>
          </w:p>
        </w:tc>
        <w:tc>
          <w:tcPr>
            <w:tcW w:w="1680" w:type="dxa"/>
            <w:tcBorders>
              <w:top w:val="nil"/>
              <w:left w:val="nil"/>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11,9</w:t>
            </w:r>
          </w:p>
        </w:tc>
        <w:tc>
          <w:tcPr>
            <w:tcW w:w="1680" w:type="dxa"/>
            <w:tcBorders>
              <w:top w:val="nil"/>
              <w:left w:val="nil"/>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14,8</w:t>
            </w:r>
          </w:p>
        </w:tc>
        <w:tc>
          <w:tcPr>
            <w:tcW w:w="1680" w:type="dxa"/>
            <w:tcBorders>
              <w:top w:val="nil"/>
              <w:left w:val="nil"/>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0,5</w:t>
            </w:r>
          </w:p>
        </w:tc>
        <w:tc>
          <w:tcPr>
            <w:tcW w:w="1680" w:type="dxa"/>
            <w:tcBorders>
              <w:top w:val="nil"/>
              <w:left w:val="nil"/>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19,1</w:t>
            </w:r>
          </w:p>
        </w:tc>
      </w:tr>
      <w:tr w:rsidR="00E05336" w:rsidRPr="00E05336" w:rsidTr="00FC6A1B">
        <w:trPr>
          <w:trHeight w:val="227"/>
          <w:jc w:val="center"/>
        </w:trPr>
        <w:tc>
          <w:tcPr>
            <w:tcW w:w="1840" w:type="dxa"/>
            <w:tcBorders>
              <w:top w:val="nil"/>
              <w:left w:val="nil"/>
              <w:right w:val="nil"/>
            </w:tcBorders>
            <w:shd w:val="clear" w:color="auto" w:fill="auto"/>
            <w:noWrap/>
            <w:vAlign w:val="center"/>
          </w:tcPr>
          <w:p w:rsidR="00E05336" w:rsidRDefault="00E05336" w:rsidP="00E05336">
            <w:pPr>
              <w:spacing w:after="0"/>
              <w:rPr>
                <w:rFonts w:ascii="Arial" w:hAnsi="Arial" w:cs="Arial"/>
                <w:color w:val="000000"/>
                <w:sz w:val="16"/>
                <w:szCs w:val="16"/>
              </w:rPr>
            </w:pPr>
            <w:r>
              <w:rPr>
                <w:rFonts w:ascii="Arial" w:hAnsi="Arial" w:cs="Arial"/>
                <w:color w:val="000000"/>
                <w:sz w:val="16"/>
                <w:szCs w:val="16"/>
              </w:rPr>
              <w:t>2016-Dicembre</w:t>
            </w:r>
          </w:p>
        </w:tc>
        <w:tc>
          <w:tcPr>
            <w:tcW w:w="1680" w:type="dxa"/>
            <w:tcBorders>
              <w:top w:val="nil"/>
              <w:left w:val="nil"/>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11,9</w:t>
            </w:r>
          </w:p>
        </w:tc>
        <w:tc>
          <w:tcPr>
            <w:tcW w:w="1680" w:type="dxa"/>
            <w:tcBorders>
              <w:top w:val="nil"/>
              <w:left w:val="nil"/>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14,8</w:t>
            </w:r>
          </w:p>
        </w:tc>
        <w:tc>
          <w:tcPr>
            <w:tcW w:w="1680" w:type="dxa"/>
            <w:tcBorders>
              <w:top w:val="nil"/>
              <w:left w:val="nil"/>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1,0</w:t>
            </w:r>
          </w:p>
        </w:tc>
        <w:tc>
          <w:tcPr>
            <w:tcW w:w="1680" w:type="dxa"/>
            <w:tcBorders>
              <w:top w:val="nil"/>
              <w:left w:val="nil"/>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19,4</w:t>
            </w:r>
          </w:p>
        </w:tc>
      </w:tr>
      <w:tr w:rsidR="00E05336" w:rsidRPr="00E05336" w:rsidTr="00FC6A1B">
        <w:trPr>
          <w:trHeight w:val="227"/>
          <w:jc w:val="center"/>
        </w:trPr>
        <w:tc>
          <w:tcPr>
            <w:tcW w:w="1840" w:type="dxa"/>
            <w:tcBorders>
              <w:top w:val="nil"/>
              <w:left w:val="nil"/>
              <w:bottom w:val="double" w:sz="4" w:space="0" w:color="auto"/>
              <w:right w:val="nil"/>
            </w:tcBorders>
            <w:shd w:val="clear" w:color="auto" w:fill="auto"/>
            <w:noWrap/>
            <w:vAlign w:val="center"/>
          </w:tcPr>
          <w:p w:rsidR="00E05336" w:rsidRDefault="00E05336" w:rsidP="00E05336">
            <w:pPr>
              <w:spacing w:after="0"/>
              <w:rPr>
                <w:rFonts w:ascii="Arial" w:hAnsi="Arial" w:cs="Arial"/>
                <w:color w:val="000000"/>
                <w:sz w:val="16"/>
                <w:szCs w:val="16"/>
              </w:rPr>
            </w:pPr>
            <w:r>
              <w:rPr>
                <w:rFonts w:ascii="Arial" w:hAnsi="Arial" w:cs="Arial"/>
                <w:color w:val="000000"/>
                <w:sz w:val="16"/>
                <w:szCs w:val="16"/>
              </w:rPr>
              <w:t>2017-Gennaio</w:t>
            </w:r>
          </w:p>
        </w:tc>
        <w:tc>
          <w:tcPr>
            <w:tcW w:w="1680" w:type="dxa"/>
            <w:tcBorders>
              <w:top w:val="nil"/>
              <w:left w:val="nil"/>
              <w:bottom w:val="double" w:sz="4" w:space="0" w:color="auto"/>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11,9</w:t>
            </w:r>
          </w:p>
        </w:tc>
        <w:tc>
          <w:tcPr>
            <w:tcW w:w="1680" w:type="dxa"/>
            <w:tcBorders>
              <w:top w:val="nil"/>
              <w:left w:val="nil"/>
              <w:bottom w:val="double" w:sz="4" w:space="0" w:color="auto"/>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14,8</w:t>
            </w:r>
          </w:p>
        </w:tc>
        <w:tc>
          <w:tcPr>
            <w:tcW w:w="1680" w:type="dxa"/>
            <w:tcBorders>
              <w:top w:val="nil"/>
              <w:left w:val="nil"/>
              <w:bottom w:val="double" w:sz="4" w:space="0" w:color="auto"/>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2,2</w:t>
            </w:r>
          </w:p>
        </w:tc>
        <w:tc>
          <w:tcPr>
            <w:tcW w:w="1680" w:type="dxa"/>
            <w:tcBorders>
              <w:top w:val="nil"/>
              <w:left w:val="nil"/>
              <w:bottom w:val="double" w:sz="4" w:space="0" w:color="auto"/>
              <w:right w:val="nil"/>
            </w:tcBorders>
            <w:shd w:val="clear" w:color="auto" w:fill="auto"/>
            <w:noWrap/>
            <w:vAlign w:val="center"/>
          </w:tcPr>
          <w:p w:rsidR="00E05336" w:rsidRDefault="00E05336" w:rsidP="00E05336">
            <w:pPr>
              <w:spacing w:after="0"/>
              <w:jc w:val="center"/>
              <w:rPr>
                <w:rFonts w:ascii="Arial" w:hAnsi="Arial" w:cs="Arial"/>
                <w:color w:val="000000"/>
                <w:sz w:val="16"/>
                <w:szCs w:val="16"/>
              </w:rPr>
            </w:pPr>
            <w:r>
              <w:rPr>
                <w:rFonts w:ascii="Arial" w:hAnsi="Arial" w:cs="Arial"/>
                <w:color w:val="000000"/>
                <w:sz w:val="16"/>
                <w:szCs w:val="16"/>
              </w:rPr>
              <w:t>20,3</w:t>
            </w:r>
          </w:p>
        </w:tc>
      </w:tr>
    </w:tbl>
    <w:p w:rsidR="00997A5C" w:rsidRPr="00A1342C" w:rsidRDefault="00997A5C" w:rsidP="009D3CE8">
      <w:pPr>
        <w:spacing w:after="0"/>
        <w:ind w:left="567" w:right="566"/>
        <w:jc w:val="both"/>
        <w:rPr>
          <w:rFonts w:ascii="Arial" w:hAnsi="Arial" w:cs="Arial"/>
          <w:i/>
          <w:sz w:val="16"/>
          <w:szCs w:val="16"/>
        </w:rPr>
      </w:pPr>
      <w:r w:rsidRPr="00A1342C">
        <w:rPr>
          <w:rFonts w:ascii="Arial" w:hAnsi="Arial" w:cs="Arial"/>
          <w:sz w:val="16"/>
          <w:szCs w:val="16"/>
        </w:rPr>
        <w:t>Elaborazioni Ufficio Studi Confcommercio-Imprese per l’Italia su dati ISTAT ed INPS</w:t>
      </w:r>
      <w:r w:rsidR="007E2E56" w:rsidRPr="00A1342C">
        <w:rPr>
          <w:rFonts w:ascii="Arial" w:hAnsi="Arial" w:cs="Arial"/>
          <w:sz w:val="16"/>
          <w:szCs w:val="16"/>
        </w:rPr>
        <w:t>.</w:t>
      </w:r>
    </w:p>
    <w:p w:rsidR="003020EA" w:rsidRPr="00A1342C" w:rsidRDefault="00EF49AC" w:rsidP="00997A5C">
      <w:pPr>
        <w:spacing w:after="0"/>
        <w:ind w:left="567" w:right="566"/>
        <w:jc w:val="both"/>
        <w:rPr>
          <w:rFonts w:ascii="Arial" w:hAnsi="Arial" w:cs="Arial"/>
          <w:sz w:val="16"/>
          <w:szCs w:val="16"/>
        </w:rPr>
      </w:pPr>
      <w:r w:rsidRPr="00A1342C">
        <w:rPr>
          <w:rFonts w:ascii="Arial" w:hAnsi="Arial" w:cs="Arial"/>
          <w:sz w:val="16"/>
          <w:szCs w:val="16"/>
        </w:rPr>
        <w:t xml:space="preserve">Legenda: per le definizioni si veda la nota </w:t>
      </w:r>
      <w:r w:rsidR="00997A5C" w:rsidRPr="00A1342C">
        <w:rPr>
          <w:rFonts w:ascii="Arial" w:hAnsi="Arial" w:cs="Arial"/>
          <w:sz w:val="16"/>
          <w:szCs w:val="16"/>
        </w:rPr>
        <w:t>tecnica</w:t>
      </w:r>
      <w:r w:rsidRPr="00A1342C">
        <w:rPr>
          <w:rFonts w:ascii="Arial" w:hAnsi="Arial" w:cs="Arial"/>
          <w:sz w:val="16"/>
          <w:szCs w:val="16"/>
        </w:rPr>
        <w:t>.</w:t>
      </w:r>
      <w:r w:rsidR="00BA7CA1" w:rsidRPr="00A1342C">
        <w:rPr>
          <w:rFonts w:ascii="Arial" w:hAnsi="Arial" w:cs="Arial"/>
          <w:sz w:val="16"/>
          <w:szCs w:val="16"/>
        </w:rPr>
        <w:t xml:space="preserve"> </w:t>
      </w:r>
      <w:r w:rsidR="00791742" w:rsidRPr="00A1342C">
        <w:rPr>
          <w:rFonts w:ascii="Arial" w:hAnsi="Arial" w:cs="Arial"/>
          <w:sz w:val="16"/>
          <w:szCs w:val="16"/>
        </w:rPr>
        <w:t>* I dati degli</w:t>
      </w:r>
      <w:r w:rsidR="00997A5C" w:rsidRPr="00A1342C">
        <w:rPr>
          <w:rFonts w:ascii="Arial" w:hAnsi="Arial" w:cs="Arial"/>
          <w:sz w:val="16"/>
          <w:szCs w:val="16"/>
        </w:rPr>
        <w:t xml:space="preserve"> ultimi </w:t>
      </w:r>
      <w:r w:rsidR="002F28AD" w:rsidRPr="0099571F">
        <w:rPr>
          <w:rFonts w:ascii="Arial" w:hAnsi="Arial" w:cs="Arial"/>
          <w:sz w:val="16"/>
          <w:szCs w:val="16"/>
        </w:rPr>
        <w:t>quattro</w:t>
      </w:r>
      <w:r w:rsidR="007374AD" w:rsidRPr="0099571F">
        <w:rPr>
          <w:rFonts w:ascii="Arial" w:hAnsi="Arial" w:cs="Arial"/>
          <w:sz w:val="16"/>
          <w:szCs w:val="16"/>
        </w:rPr>
        <w:t xml:space="preserve"> </w:t>
      </w:r>
      <w:r w:rsidR="00997A5C" w:rsidRPr="0099571F">
        <w:rPr>
          <w:rFonts w:ascii="Arial" w:hAnsi="Arial" w:cs="Arial"/>
          <w:sz w:val="16"/>
          <w:szCs w:val="16"/>
        </w:rPr>
        <w:t>mesi</w:t>
      </w:r>
      <w:r w:rsidR="00997A5C" w:rsidRPr="00A1342C">
        <w:rPr>
          <w:rFonts w:ascii="Arial" w:hAnsi="Arial" w:cs="Arial"/>
          <w:sz w:val="16"/>
          <w:szCs w:val="16"/>
        </w:rPr>
        <w:t xml:space="preserve"> sono frutto di</w:t>
      </w:r>
      <w:r w:rsidR="00791742" w:rsidRPr="00A1342C">
        <w:rPr>
          <w:rFonts w:ascii="Arial" w:hAnsi="Arial" w:cs="Arial"/>
          <w:sz w:val="16"/>
          <w:szCs w:val="16"/>
        </w:rPr>
        <w:t xml:space="preserve"> stime</w:t>
      </w:r>
      <w:r w:rsidR="00997A5C" w:rsidRPr="00A1342C">
        <w:rPr>
          <w:rFonts w:ascii="Arial" w:hAnsi="Arial" w:cs="Arial"/>
          <w:sz w:val="16"/>
          <w:szCs w:val="16"/>
        </w:rPr>
        <w:t xml:space="preserve"> (cfr. la n</w:t>
      </w:r>
      <w:r w:rsidR="00791742" w:rsidRPr="00A1342C">
        <w:rPr>
          <w:rFonts w:ascii="Arial" w:hAnsi="Arial" w:cs="Arial"/>
          <w:sz w:val="16"/>
          <w:szCs w:val="16"/>
        </w:rPr>
        <w:t xml:space="preserve">ota </w:t>
      </w:r>
      <w:r w:rsidR="00997A5C" w:rsidRPr="00A1342C">
        <w:rPr>
          <w:rFonts w:ascii="Arial" w:hAnsi="Arial" w:cs="Arial"/>
          <w:sz w:val="16"/>
          <w:szCs w:val="16"/>
        </w:rPr>
        <w:t>tecnica</w:t>
      </w:r>
      <w:r w:rsidR="00791742" w:rsidRPr="00A1342C">
        <w:rPr>
          <w:rFonts w:ascii="Arial" w:hAnsi="Arial" w:cs="Arial"/>
          <w:sz w:val="16"/>
          <w:szCs w:val="16"/>
        </w:rPr>
        <w:t xml:space="preserve"> a pag. </w:t>
      </w:r>
      <w:r w:rsidR="007E2E56" w:rsidRPr="00A1342C">
        <w:rPr>
          <w:rFonts w:ascii="Arial" w:hAnsi="Arial" w:cs="Arial"/>
          <w:sz w:val="16"/>
          <w:szCs w:val="16"/>
        </w:rPr>
        <w:t>3</w:t>
      </w:r>
      <w:r w:rsidR="00791742" w:rsidRPr="00A1342C">
        <w:rPr>
          <w:rFonts w:ascii="Arial" w:hAnsi="Arial" w:cs="Arial"/>
          <w:sz w:val="16"/>
          <w:szCs w:val="16"/>
        </w:rPr>
        <w:t>).</w:t>
      </w:r>
    </w:p>
    <w:p w:rsidR="00981EEC" w:rsidRDefault="00981EEC" w:rsidP="00640849">
      <w:pPr>
        <w:spacing w:after="0"/>
        <w:ind w:left="567"/>
        <w:jc w:val="center"/>
        <w:rPr>
          <w:rFonts w:ascii="Arial" w:hAnsi="Arial" w:cs="Arial"/>
          <w:b/>
          <w:bCs/>
          <w:sz w:val="24"/>
          <w:szCs w:val="28"/>
        </w:rPr>
      </w:pPr>
    </w:p>
    <w:p w:rsidR="00640849" w:rsidRDefault="00640849" w:rsidP="00640849">
      <w:pPr>
        <w:spacing w:after="0"/>
        <w:ind w:left="567"/>
        <w:jc w:val="center"/>
        <w:rPr>
          <w:rFonts w:ascii="Arial" w:hAnsi="Arial" w:cs="Arial"/>
          <w:b/>
          <w:bCs/>
          <w:sz w:val="24"/>
          <w:szCs w:val="28"/>
        </w:rPr>
      </w:pPr>
      <w:r w:rsidRPr="00163424">
        <w:rPr>
          <w:rFonts w:ascii="Arial" w:hAnsi="Arial" w:cs="Arial"/>
          <w:b/>
          <w:bCs/>
          <w:sz w:val="24"/>
          <w:szCs w:val="28"/>
        </w:rPr>
        <w:t>Figura 1: Misery Index Confcommercio (MIC)</w:t>
      </w:r>
    </w:p>
    <w:p w:rsidR="00D21D39" w:rsidRDefault="00D21D39" w:rsidP="00640849">
      <w:pPr>
        <w:spacing w:after="0"/>
        <w:ind w:left="567"/>
        <w:jc w:val="center"/>
        <w:rPr>
          <w:rFonts w:ascii="Arial" w:hAnsi="Arial" w:cs="Arial"/>
          <w:b/>
          <w:bCs/>
          <w:sz w:val="24"/>
          <w:szCs w:val="28"/>
        </w:rPr>
      </w:pPr>
      <w:r>
        <w:rPr>
          <w:noProof/>
          <w:lang w:eastAsia="it-IT"/>
        </w:rPr>
        <w:drawing>
          <wp:inline distT="0" distB="0" distL="0" distR="0" wp14:anchorId="1A56F40D" wp14:editId="2795383F">
            <wp:extent cx="6121729" cy="3271652"/>
            <wp:effectExtent l="0" t="0" r="12700" b="2413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97A5C" w:rsidRPr="00A1342C" w:rsidRDefault="00997A5C" w:rsidP="00BA4696">
      <w:pPr>
        <w:spacing w:after="0"/>
        <w:ind w:left="567" w:right="566"/>
        <w:jc w:val="both"/>
        <w:rPr>
          <w:rFonts w:ascii="Arial" w:hAnsi="Arial" w:cs="Arial"/>
          <w:i/>
          <w:sz w:val="16"/>
          <w:szCs w:val="16"/>
        </w:rPr>
      </w:pPr>
      <w:r w:rsidRPr="00A1342C">
        <w:rPr>
          <w:rFonts w:ascii="Arial" w:hAnsi="Arial" w:cs="Arial"/>
          <w:sz w:val="16"/>
          <w:szCs w:val="16"/>
        </w:rPr>
        <w:t>Elaborazioni Ufficio Studi Confcommercio-Imprese per l’Italia su dati ISTAT ed INPS</w:t>
      </w:r>
      <w:r w:rsidR="007E2E56" w:rsidRPr="00A1342C">
        <w:rPr>
          <w:rFonts w:ascii="Arial" w:hAnsi="Arial" w:cs="Arial"/>
          <w:sz w:val="16"/>
          <w:szCs w:val="16"/>
        </w:rPr>
        <w:t>.</w:t>
      </w:r>
    </w:p>
    <w:p w:rsidR="007E2E56" w:rsidRDefault="00997A5C" w:rsidP="00BA4696">
      <w:pPr>
        <w:spacing w:after="0"/>
        <w:ind w:left="567" w:right="566"/>
        <w:jc w:val="both"/>
        <w:rPr>
          <w:rFonts w:ascii="Arial" w:hAnsi="Arial" w:cs="Arial"/>
          <w:sz w:val="16"/>
          <w:szCs w:val="16"/>
        </w:rPr>
      </w:pPr>
      <w:r w:rsidRPr="00A1342C">
        <w:rPr>
          <w:rFonts w:ascii="Arial" w:hAnsi="Arial" w:cs="Arial"/>
          <w:sz w:val="16"/>
          <w:szCs w:val="16"/>
        </w:rPr>
        <w:t>Legenda: per le definizioni si veda la nota tecnica.</w:t>
      </w:r>
      <w:r w:rsidR="00B6749E" w:rsidRPr="00A1342C">
        <w:rPr>
          <w:rFonts w:ascii="Arial" w:hAnsi="Arial" w:cs="Arial"/>
          <w:sz w:val="16"/>
          <w:szCs w:val="16"/>
        </w:rPr>
        <w:t xml:space="preserve"> </w:t>
      </w:r>
      <w:r w:rsidR="007E2E56" w:rsidRPr="00A1342C">
        <w:rPr>
          <w:rFonts w:ascii="Arial" w:hAnsi="Arial" w:cs="Arial"/>
          <w:sz w:val="16"/>
          <w:szCs w:val="16"/>
        </w:rPr>
        <w:t xml:space="preserve">I dati degli </w:t>
      </w:r>
      <w:r w:rsidR="007E2E56" w:rsidRPr="0099571F">
        <w:rPr>
          <w:rFonts w:ascii="Arial" w:hAnsi="Arial" w:cs="Arial"/>
          <w:sz w:val="16"/>
          <w:szCs w:val="16"/>
        </w:rPr>
        <w:t xml:space="preserve">ultimi </w:t>
      </w:r>
      <w:r w:rsidR="002F28AD" w:rsidRPr="0099571F">
        <w:rPr>
          <w:rFonts w:ascii="Arial" w:hAnsi="Arial" w:cs="Arial"/>
          <w:sz w:val="16"/>
          <w:szCs w:val="16"/>
        </w:rPr>
        <w:t>quattro</w:t>
      </w:r>
      <w:r w:rsidR="00887E2E" w:rsidRPr="0099571F">
        <w:rPr>
          <w:rFonts w:ascii="Arial" w:hAnsi="Arial" w:cs="Arial"/>
          <w:sz w:val="16"/>
          <w:szCs w:val="16"/>
        </w:rPr>
        <w:t xml:space="preserve"> </w:t>
      </w:r>
      <w:r w:rsidR="00B178EE" w:rsidRPr="0099571F">
        <w:rPr>
          <w:rFonts w:ascii="Arial" w:hAnsi="Arial" w:cs="Arial"/>
          <w:sz w:val="16"/>
          <w:szCs w:val="16"/>
        </w:rPr>
        <w:t>mesi</w:t>
      </w:r>
      <w:r w:rsidR="007E2E56" w:rsidRPr="0099571F">
        <w:rPr>
          <w:rFonts w:ascii="Arial" w:hAnsi="Arial" w:cs="Arial"/>
          <w:sz w:val="16"/>
          <w:szCs w:val="16"/>
        </w:rPr>
        <w:t xml:space="preserve"> sono</w:t>
      </w:r>
      <w:r w:rsidR="007E2E56" w:rsidRPr="00A1342C">
        <w:rPr>
          <w:rFonts w:ascii="Arial" w:hAnsi="Arial" w:cs="Arial"/>
          <w:sz w:val="16"/>
          <w:szCs w:val="16"/>
        </w:rPr>
        <w:t xml:space="preserve"> frutto di stime (cfr. la nota tecnica a pag. 3).</w:t>
      </w:r>
    </w:p>
    <w:p w:rsidR="0099571F" w:rsidRDefault="0099571F" w:rsidP="00BA4696">
      <w:pPr>
        <w:spacing w:after="0"/>
        <w:ind w:left="567" w:right="566"/>
        <w:jc w:val="both"/>
        <w:rPr>
          <w:rFonts w:ascii="Arial" w:hAnsi="Arial" w:cs="Arial"/>
          <w:sz w:val="16"/>
          <w:szCs w:val="16"/>
        </w:rPr>
      </w:pPr>
    </w:p>
    <w:p w:rsidR="0099571F" w:rsidRDefault="0099571F" w:rsidP="00BA4696">
      <w:pPr>
        <w:spacing w:after="0"/>
        <w:ind w:left="567" w:right="566"/>
        <w:jc w:val="both"/>
        <w:rPr>
          <w:rFonts w:ascii="Arial" w:hAnsi="Arial" w:cs="Arial"/>
          <w:sz w:val="16"/>
          <w:szCs w:val="16"/>
        </w:rPr>
      </w:pPr>
    </w:p>
    <w:p w:rsidR="0099571F" w:rsidRDefault="0099571F" w:rsidP="00BA4696">
      <w:pPr>
        <w:spacing w:after="0"/>
        <w:ind w:left="567" w:right="566"/>
        <w:jc w:val="both"/>
        <w:rPr>
          <w:rFonts w:ascii="Arial" w:hAnsi="Arial" w:cs="Arial"/>
          <w:sz w:val="16"/>
          <w:szCs w:val="16"/>
        </w:rPr>
      </w:pPr>
    </w:p>
    <w:p w:rsidR="0099571F" w:rsidRDefault="0099571F" w:rsidP="00BA4696">
      <w:pPr>
        <w:spacing w:after="0"/>
        <w:ind w:left="567" w:right="566"/>
        <w:jc w:val="both"/>
        <w:rPr>
          <w:rFonts w:ascii="Arial" w:hAnsi="Arial" w:cs="Arial"/>
          <w:sz w:val="16"/>
          <w:szCs w:val="16"/>
        </w:rPr>
      </w:pPr>
    </w:p>
    <w:p w:rsidR="0099571F" w:rsidRDefault="0099571F" w:rsidP="008E7FC7">
      <w:pPr>
        <w:spacing w:line="24" w:lineRule="atLeast"/>
        <w:jc w:val="center"/>
        <w:rPr>
          <w:rFonts w:ascii="Arial" w:hAnsi="Arial" w:cs="Arial"/>
          <w:b/>
          <w:bCs/>
          <w:color w:val="0000FF"/>
          <w:sz w:val="24"/>
          <w:szCs w:val="24"/>
        </w:rPr>
      </w:pPr>
    </w:p>
    <w:p w:rsidR="008E7FC7" w:rsidRPr="0099571F" w:rsidRDefault="00CE41BA" w:rsidP="008E7FC7">
      <w:pPr>
        <w:spacing w:line="24" w:lineRule="atLeast"/>
        <w:jc w:val="center"/>
        <w:rPr>
          <w:rFonts w:ascii="Verdana" w:hAnsi="Verdana" w:cs="Arial"/>
          <w:b/>
          <w:bCs/>
          <w:color w:val="0000FF"/>
          <w:sz w:val="16"/>
          <w:szCs w:val="16"/>
        </w:rPr>
      </w:pPr>
      <w:r w:rsidRPr="0099571F">
        <w:rPr>
          <w:rFonts w:ascii="Verdana" w:hAnsi="Verdana" w:cs="Arial"/>
          <w:b/>
          <w:bCs/>
          <w:color w:val="0000FF"/>
          <w:sz w:val="16"/>
          <w:szCs w:val="16"/>
        </w:rPr>
        <w:lastRenderedPageBreak/>
        <w:t>N</w:t>
      </w:r>
      <w:r w:rsidR="008E7FC7" w:rsidRPr="0099571F">
        <w:rPr>
          <w:rFonts w:ascii="Verdana" w:hAnsi="Verdana" w:cs="Arial"/>
          <w:b/>
          <w:bCs/>
          <w:color w:val="0000FF"/>
          <w:sz w:val="16"/>
          <w:szCs w:val="16"/>
        </w:rPr>
        <w:t xml:space="preserve">ota </w:t>
      </w:r>
      <w:r w:rsidR="00997A5C" w:rsidRPr="0099571F">
        <w:rPr>
          <w:rFonts w:ascii="Verdana" w:hAnsi="Verdana" w:cs="Arial"/>
          <w:b/>
          <w:bCs/>
          <w:color w:val="0000FF"/>
          <w:sz w:val="16"/>
          <w:szCs w:val="16"/>
        </w:rPr>
        <w:t>tecnica</w:t>
      </w:r>
      <w:r w:rsidR="008E7FC7" w:rsidRPr="0099571F">
        <w:rPr>
          <w:rFonts w:ascii="Verdana" w:hAnsi="Verdana" w:cs="Arial"/>
          <w:b/>
          <w:bCs/>
          <w:color w:val="0000FF"/>
          <w:sz w:val="16"/>
          <w:szCs w:val="16"/>
        </w:rPr>
        <w:t xml:space="preserve"> sul calcolo del Misery Index Confcommercio (MIC)</w:t>
      </w:r>
    </w:p>
    <w:p w:rsidR="0061766F" w:rsidRPr="0099571F" w:rsidRDefault="0061766F" w:rsidP="00C33FF5">
      <w:pPr>
        <w:pStyle w:val="Paragrafoelenco1"/>
        <w:spacing w:after="0" w:line="288" w:lineRule="auto"/>
        <w:ind w:left="0" w:firstLine="709"/>
        <w:jc w:val="both"/>
        <w:rPr>
          <w:rFonts w:ascii="Verdana" w:hAnsi="Verdana" w:cs="Arial"/>
          <w:sz w:val="16"/>
          <w:szCs w:val="16"/>
        </w:rPr>
      </w:pPr>
      <w:r w:rsidRPr="0099571F">
        <w:rPr>
          <w:rFonts w:ascii="Verdana" w:hAnsi="Verdana" w:cs="Arial"/>
          <w:sz w:val="16"/>
          <w:szCs w:val="16"/>
        </w:rPr>
        <w:t xml:space="preserve">Il </w:t>
      </w:r>
      <w:r w:rsidRPr="0099571F">
        <w:rPr>
          <w:rFonts w:ascii="Verdana" w:hAnsi="Verdana" w:cs="Arial"/>
          <w:b/>
          <w:sz w:val="16"/>
          <w:szCs w:val="16"/>
        </w:rPr>
        <w:t>Misery Index</w:t>
      </w:r>
      <w:r w:rsidRPr="0099571F">
        <w:rPr>
          <w:rFonts w:ascii="Verdana" w:hAnsi="Verdana" w:cs="Arial"/>
          <w:sz w:val="16"/>
          <w:szCs w:val="16"/>
        </w:rPr>
        <w:t xml:space="preserve"> </w:t>
      </w:r>
      <w:r w:rsidR="008A4979" w:rsidRPr="0099571F">
        <w:rPr>
          <w:rFonts w:ascii="Verdana" w:hAnsi="Verdana" w:cs="Arial"/>
          <w:b/>
          <w:sz w:val="16"/>
          <w:szCs w:val="16"/>
        </w:rPr>
        <w:t>(MI)</w:t>
      </w:r>
      <w:r w:rsidR="008A4979" w:rsidRPr="0099571F">
        <w:rPr>
          <w:rFonts w:ascii="Verdana" w:hAnsi="Verdana" w:cs="Arial"/>
          <w:sz w:val="16"/>
          <w:szCs w:val="16"/>
        </w:rPr>
        <w:t xml:space="preserve"> </w:t>
      </w:r>
      <w:r w:rsidRPr="0099571F">
        <w:rPr>
          <w:rFonts w:ascii="Verdana" w:hAnsi="Verdana" w:cs="Arial"/>
          <w:sz w:val="16"/>
          <w:szCs w:val="16"/>
        </w:rPr>
        <w:t>tradizionale è dato dalla semplice somma di tasso di disoccupazione e tasso d’inflazione. I pesi assegnati ai due “mali” sono dunque identici e pari a 1.</w:t>
      </w:r>
    </w:p>
    <w:p w:rsidR="0061766F" w:rsidRPr="0099571F" w:rsidRDefault="0061766F" w:rsidP="00C33FF5">
      <w:pPr>
        <w:pStyle w:val="Paragrafoelenco1"/>
        <w:spacing w:after="0" w:line="288" w:lineRule="auto"/>
        <w:ind w:left="0" w:firstLine="709"/>
        <w:jc w:val="both"/>
        <w:rPr>
          <w:rFonts w:ascii="Verdana" w:hAnsi="Verdana" w:cs="Arial"/>
          <w:sz w:val="16"/>
          <w:szCs w:val="16"/>
        </w:rPr>
      </w:pPr>
      <w:r w:rsidRPr="0099571F">
        <w:rPr>
          <w:rFonts w:ascii="Verdana" w:hAnsi="Verdana" w:cs="Arial"/>
          <w:sz w:val="16"/>
          <w:szCs w:val="16"/>
        </w:rPr>
        <w:t xml:space="preserve">Il </w:t>
      </w:r>
      <w:r w:rsidRPr="0099571F">
        <w:rPr>
          <w:rFonts w:ascii="Verdana" w:hAnsi="Verdana" w:cs="Arial"/>
          <w:b/>
          <w:sz w:val="16"/>
          <w:szCs w:val="16"/>
        </w:rPr>
        <w:t>Misery Index Confcommercio (MIC)</w:t>
      </w:r>
      <w:r w:rsidRPr="0099571F">
        <w:rPr>
          <w:rFonts w:ascii="Verdana" w:hAnsi="Verdana" w:cs="Arial"/>
          <w:sz w:val="16"/>
          <w:szCs w:val="16"/>
        </w:rPr>
        <w:t xml:space="preserve"> è calcolato in modo da leggere con maggiore precisione la dinamica del disagio sociale, misurato in una metrica macroeconomica. Le due componenti del MIC sono il tasso di disoccupazione esteso, definito più sotto, e la variazione dei prezzi dei beni e dei servizi acquistati in alta frequenza (fonte I</w:t>
      </w:r>
      <w:r w:rsidR="00283C4D" w:rsidRPr="0099571F">
        <w:rPr>
          <w:rFonts w:ascii="Verdana" w:hAnsi="Verdana" w:cs="Arial"/>
          <w:sz w:val="16"/>
          <w:szCs w:val="16"/>
        </w:rPr>
        <w:t>STAT</w:t>
      </w:r>
      <w:r w:rsidRPr="0099571F">
        <w:rPr>
          <w:rFonts w:ascii="Verdana" w:hAnsi="Verdana" w:cs="Arial"/>
          <w:sz w:val="16"/>
          <w:szCs w:val="16"/>
        </w:rPr>
        <w:t>): le dinamiche di prezzo di questo paniere dovrebbero influenzare in modo più diretto la percezione dell’inflazione da parte delle famiglie, correlandosi direttamente con le preoccupazioni (disagio) in merito al proprio potere d’acquisto.</w:t>
      </w:r>
    </w:p>
    <w:p w:rsidR="0061766F" w:rsidRPr="0099571F" w:rsidRDefault="0061766F" w:rsidP="00C33FF5">
      <w:pPr>
        <w:pStyle w:val="Paragrafoelenco1"/>
        <w:spacing w:after="0" w:line="288" w:lineRule="auto"/>
        <w:ind w:left="0" w:firstLine="709"/>
        <w:jc w:val="both"/>
        <w:rPr>
          <w:rFonts w:ascii="Verdana" w:hAnsi="Verdana" w:cs="Arial"/>
          <w:sz w:val="16"/>
          <w:szCs w:val="16"/>
        </w:rPr>
      </w:pPr>
      <w:r w:rsidRPr="0099571F">
        <w:rPr>
          <w:rFonts w:ascii="Verdana" w:hAnsi="Verdana" w:cs="Arial"/>
          <w:sz w:val="16"/>
          <w:szCs w:val="16"/>
        </w:rPr>
        <w:t>Si assegnano pesi diversi alle due componenti, disoccupazione e</w:t>
      </w:r>
      <w:r w:rsidR="008A4979" w:rsidRPr="0099571F">
        <w:rPr>
          <w:rFonts w:ascii="Verdana" w:hAnsi="Verdana" w:cs="Arial"/>
          <w:sz w:val="16"/>
          <w:szCs w:val="16"/>
        </w:rPr>
        <w:t>d</w:t>
      </w:r>
      <w:r w:rsidRPr="0099571F">
        <w:rPr>
          <w:rFonts w:ascii="Verdana" w:hAnsi="Verdana" w:cs="Arial"/>
          <w:sz w:val="16"/>
          <w:szCs w:val="16"/>
        </w:rPr>
        <w:t xml:space="preserve"> inflazione, rispe</w:t>
      </w:r>
      <w:r w:rsidR="009B1DCC" w:rsidRPr="0099571F">
        <w:rPr>
          <w:rFonts w:ascii="Verdana" w:hAnsi="Verdana" w:cs="Arial"/>
          <w:sz w:val="16"/>
          <w:szCs w:val="16"/>
        </w:rPr>
        <w:t>ttivamente 1,2647 e 0,7353. Ciò</w:t>
      </w:r>
      <w:r w:rsidRPr="0099571F">
        <w:rPr>
          <w:rFonts w:ascii="Verdana" w:hAnsi="Verdana" w:cs="Arial"/>
          <w:sz w:val="16"/>
          <w:szCs w:val="16"/>
        </w:rPr>
        <w:t xml:space="preserve"> sulla base degli studi scientifici internazionali che, utilizzando dati Eurobarometro sul benessere dei cittadini europei (si veda Di Tella, MacCulloch ed Oswald, 2001), hanno dimostrato come il costo della disoccupazione in termini di soddisfazione di vita sia molto superiore a quello dell’inflazione.</w:t>
      </w:r>
    </w:p>
    <w:p w:rsidR="0061766F" w:rsidRPr="0099571F" w:rsidRDefault="0061766F" w:rsidP="00C33FF5">
      <w:pPr>
        <w:pStyle w:val="Paragrafoelenco1"/>
        <w:spacing w:after="0" w:line="288" w:lineRule="auto"/>
        <w:ind w:left="0" w:firstLine="709"/>
        <w:jc w:val="both"/>
        <w:rPr>
          <w:rFonts w:ascii="Verdana" w:hAnsi="Verdana" w:cs="Arial"/>
          <w:sz w:val="16"/>
          <w:szCs w:val="16"/>
        </w:rPr>
      </w:pPr>
      <w:r w:rsidRPr="0099571F">
        <w:rPr>
          <w:rFonts w:ascii="Verdana" w:hAnsi="Verdana" w:cs="Arial"/>
          <w:sz w:val="16"/>
          <w:szCs w:val="16"/>
        </w:rPr>
        <w:t>D’altra parte, tutte le recenti ricerche sociali evidenziano come prima preoccupazione dei cittadini sia la questione del lavoro, e quindi la paura della disoccupazione. Il Misery Index tradizionale, che assegna pesi uguali ai due mali, tende, dunque, a sottostimare i costi economici, psicologici e sociali - diretti ed indiretti - della disoccupazione. La quantificazione dei due pesi adottata nel MIC si basa sulla regressione 1 della Tabella 2 contenuta in Becchetti, Castriota e Giuntella (2010), in cui si stima che, per lasciare indifferente un cittadino medio europeo, l’aumento di un punto di disoccupazione deve essere compensato da una diminuzione di 1,72 punti di inflazione. Di conseguenza, i pesi della disoccupazione e dell’inflazione valgono, rispettiv</w:t>
      </w:r>
      <w:r w:rsidR="00956C16" w:rsidRPr="0099571F">
        <w:rPr>
          <w:rFonts w:ascii="Verdana" w:hAnsi="Verdana" w:cs="Arial"/>
          <w:sz w:val="16"/>
          <w:szCs w:val="16"/>
        </w:rPr>
        <w:t>amente,</w:t>
      </w:r>
      <w:r w:rsidRPr="0099571F">
        <w:rPr>
          <w:rFonts w:ascii="Verdana" w:hAnsi="Verdana" w:cs="Arial"/>
          <w:sz w:val="16"/>
          <w:szCs w:val="16"/>
        </w:rPr>
        <w:t xml:space="preserve"> (1,72/2,72)x2=1,2647 e (1/2,72)x2=0,7353. I pesi sono moltiplicati per due in modo da lasciare la loro somma uguale a due per consentire una lettura non ambigua dei risultati (anche nel calcolo del Misery Index tradizionale la somma dei pesi è pari a due).</w:t>
      </w:r>
    </w:p>
    <w:p w:rsidR="00F820E5" w:rsidRPr="0099571F" w:rsidRDefault="00F820E5" w:rsidP="00C33FF5">
      <w:pPr>
        <w:pStyle w:val="Paragrafoelenco1"/>
        <w:spacing w:after="0" w:line="288" w:lineRule="auto"/>
        <w:ind w:left="0" w:firstLine="709"/>
        <w:jc w:val="both"/>
        <w:rPr>
          <w:rFonts w:ascii="Verdana" w:hAnsi="Verdana" w:cs="Arial"/>
          <w:sz w:val="16"/>
          <w:szCs w:val="16"/>
        </w:rPr>
      </w:pPr>
    </w:p>
    <w:p w:rsidR="0061766F" w:rsidRPr="0099571F" w:rsidRDefault="0061766F" w:rsidP="00C33FF5">
      <w:pPr>
        <w:pStyle w:val="Paragrafoelenco1"/>
        <w:spacing w:after="0" w:line="288" w:lineRule="auto"/>
        <w:ind w:left="0" w:firstLine="709"/>
        <w:jc w:val="both"/>
        <w:rPr>
          <w:rFonts w:ascii="Verdana" w:hAnsi="Verdana" w:cs="Arial"/>
          <w:sz w:val="16"/>
          <w:szCs w:val="16"/>
        </w:rPr>
      </w:pPr>
      <w:r w:rsidRPr="0099571F">
        <w:rPr>
          <w:rFonts w:ascii="Verdana" w:hAnsi="Verdana" w:cs="Arial"/>
          <w:sz w:val="16"/>
          <w:szCs w:val="16"/>
        </w:rPr>
        <w:t>Il tasso di disoccupazione esteso è il termine in parentesi quadra a destra nella seguente formula:</w:t>
      </w:r>
    </w:p>
    <w:p w:rsidR="0061766F" w:rsidRPr="0099571F" w:rsidRDefault="0061766F" w:rsidP="00C33FF5">
      <w:pPr>
        <w:pStyle w:val="Paragrafoelenco1"/>
        <w:spacing w:after="0" w:line="288" w:lineRule="auto"/>
        <w:ind w:left="0" w:firstLine="709"/>
        <w:jc w:val="both"/>
        <w:rPr>
          <w:rFonts w:ascii="Verdana" w:hAnsi="Verdana" w:cs="Arial"/>
          <w:sz w:val="16"/>
          <w:szCs w:val="16"/>
        </w:rPr>
      </w:pPr>
      <w:r w:rsidRPr="0099571F">
        <w:rPr>
          <w:rFonts w:ascii="Verdana" w:hAnsi="Verdana" w:cs="Arial"/>
          <w:sz w:val="16"/>
          <w:szCs w:val="16"/>
        </w:rPr>
        <w:t>MIC=0,7353 × (infl. AF) + 1,2647 × [(disocc.+FL pot.+ CIG)/(occ.+disocc.+FL pot.) × 100]</w:t>
      </w:r>
    </w:p>
    <w:p w:rsidR="0061766F" w:rsidRPr="0099571F" w:rsidRDefault="0061766F" w:rsidP="00C33FF5">
      <w:pPr>
        <w:pStyle w:val="Paragrafoelenco1"/>
        <w:spacing w:after="0" w:line="288" w:lineRule="auto"/>
        <w:ind w:left="0" w:firstLine="709"/>
        <w:jc w:val="both"/>
        <w:rPr>
          <w:rFonts w:ascii="Verdana" w:hAnsi="Verdana" w:cs="Arial"/>
          <w:sz w:val="16"/>
          <w:szCs w:val="16"/>
        </w:rPr>
      </w:pPr>
    </w:p>
    <w:p w:rsidR="0061766F" w:rsidRPr="0099571F" w:rsidRDefault="0061766F" w:rsidP="00C33FF5">
      <w:pPr>
        <w:pStyle w:val="Paragrafoelenco1"/>
        <w:spacing w:after="0" w:line="288" w:lineRule="auto"/>
        <w:ind w:left="0" w:firstLine="709"/>
        <w:jc w:val="both"/>
        <w:rPr>
          <w:rFonts w:ascii="Verdana" w:hAnsi="Verdana" w:cs="Arial"/>
          <w:sz w:val="16"/>
          <w:szCs w:val="16"/>
        </w:rPr>
      </w:pPr>
      <w:r w:rsidRPr="0099571F">
        <w:rPr>
          <w:rFonts w:ascii="Verdana" w:hAnsi="Verdana" w:cs="Arial"/>
          <w:sz w:val="16"/>
          <w:szCs w:val="16"/>
        </w:rPr>
        <w:t xml:space="preserve">Al numeratore del tasso </w:t>
      </w:r>
      <w:r w:rsidR="000A1983" w:rsidRPr="0099571F">
        <w:rPr>
          <w:rFonts w:ascii="Verdana" w:hAnsi="Verdana" w:cs="Arial"/>
          <w:sz w:val="16"/>
          <w:szCs w:val="16"/>
        </w:rPr>
        <w:t xml:space="preserve">di disoccupazione </w:t>
      </w:r>
      <w:r w:rsidRPr="0099571F">
        <w:rPr>
          <w:rFonts w:ascii="Verdana" w:hAnsi="Verdana" w:cs="Arial"/>
          <w:sz w:val="16"/>
          <w:szCs w:val="16"/>
        </w:rPr>
        <w:t>esteso compaiono sia le forze di lavoro potenziali, come definite più sotto, sia i cassaintegrati equivalenti a zero ore. Questo concetto si esemplifica facilmente: se le ore di cassa integrazione sono otto in un giorno, quattro per una persona e quattro per un’altra persona, i cassaintegrati equivalenti sono</w:t>
      </w:r>
      <w:r w:rsidR="000A1983" w:rsidRPr="0099571F">
        <w:rPr>
          <w:rFonts w:ascii="Verdana" w:hAnsi="Verdana" w:cs="Arial"/>
          <w:sz w:val="16"/>
          <w:szCs w:val="16"/>
        </w:rPr>
        <w:t xml:space="preserve"> pari a uno dal momento che un dipendente a tempo pieno lavora otto ore.</w:t>
      </w:r>
      <w:r w:rsidRPr="0099571F">
        <w:rPr>
          <w:rFonts w:ascii="Verdana" w:hAnsi="Verdana" w:cs="Arial"/>
          <w:sz w:val="16"/>
          <w:szCs w:val="16"/>
        </w:rPr>
        <w:t xml:space="preserve"> Le forze di lavoro potenziali correggono opportunamente anche il denominatore, estendendo il concetto tradizionale di forze di lavoro</w:t>
      </w:r>
      <w:r w:rsidR="000A1983" w:rsidRPr="0099571F">
        <w:rPr>
          <w:rFonts w:ascii="Verdana" w:hAnsi="Verdana" w:cs="Arial"/>
          <w:sz w:val="16"/>
          <w:szCs w:val="16"/>
        </w:rPr>
        <w:t xml:space="preserve"> a coloro che hanno svolto l’ultima azione d</w:t>
      </w:r>
      <w:r w:rsidR="00BB6C71" w:rsidRPr="0099571F">
        <w:rPr>
          <w:rFonts w:ascii="Verdana" w:hAnsi="Verdana" w:cs="Arial"/>
          <w:sz w:val="16"/>
          <w:szCs w:val="16"/>
        </w:rPr>
        <w:t xml:space="preserve">i ricerca da due a tre mesi fa </w:t>
      </w:r>
      <w:r w:rsidR="000A1983" w:rsidRPr="0099571F">
        <w:rPr>
          <w:rFonts w:ascii="Verdana" w:hAnsi="Verdana" w:cs="Arial"/>
          <w:sz w:val="16"/>
          <w:szCs w:val="16"/>
        </w:rPr>
        <w:t xml:space="preserve">e che, quindi, sono più </w:t>
      </w:r>
      <w:r w:rsidR="00BB6C71" w:rsidRPr="0099571F">
        <w:rPr>
          <w:rFonts w:ascii="Verdana" w:hAnsi="Verdana" w:cs="Arial"/>
          <w:sz w:val="16"/>
          <w:szCs w:val="16"/>
        </w:rPr>
        <w:t>facilmente assimilabili ai disoccupati che agli inattivi</w:t>
      </w:r>
      <w:r w:rsidRPr="0099571F">
        <w:rPr>
          <w:rFonts w:ascii="Verdana" w:hAnsi="Verdana" w:cs="Arial"/>
          <w:sz w:val="16"/>
          <w:szCs w:val="16"/>
        </w:rPr>
        <w:t>; i cassaintegrati equivalenti</w:t>
      </w:r>
      <w:r w:rsidR="00BB6C71" w:rsidRPr="0099571F">
        <w:rPr>
          <w:rFonts w:ascii="Verdana" w:hAnsi="Verdana" w:cs="Arial"/>
          <w:sz w:val="16"/>
          <w:szCs w:val="16"/>
        </w:rPr>
        <w:t>, invece,</w:t>
      </w:r>
      <w:r w:rsidRPr="0099571F">
        <w:rPr>
          <w:rFonts w:ascii="Verdana" w:hAnsi="Verdana" w:cs="Arial"/>
          <w:sz w:val="16"/>
          <w:szCs w:val="16"/>
        </w:rPr>
        <w:t xml:space="preserve"> non compaiono al </w:t>
      </w:r>
      <w:r w:rsidR="00BB6C71" w:rsidRPr="0099571F">
        <w:rPr>
          <w:rFonts w:ascii="Verdana" w:hAnsi="Verdana" w:cs="Arial"/>
          <w:sz w:val="16"/>
          <w:szCs w:val="16"/>
        </w:rPr>
        <w:t>denomina</w:t>
      </w:r>
      <w:r w:rsidRPr="0099571F">
        <w:rPr>
          <w:rFonts w:ascii="Verdana" w:hAnsi="Verdana" w:cs="Arial"/>
          <w:sz w:val="16"/>
          <w:szCs w:val="16"/>
        </w:rPr>
        <w:t>tore perché già</w:t>
      </w:r>
      <w:r w:rsidR="00BB6C71" w:rsidRPr="0099571F">
        <w:rPr>
          <w:rFonts w:ascii="Verdana" w:hAnsi="Verdana" w:cs="Arial"/>
          <w:sz w:val="16"/>
          <w:szCs w:val="16"/>
        </w:rPr>
        <w:t xml:space="preserve"> conteggiati</w:t>
      </w:r>
      <w:r w:rsidRPr="0099571F">
        <w:rPr>
          <w:rFonts w:ascii="Verdana" w:hAnsi="Verdana" w:cs="Arial"/>
          <w:sz w:val="16"/>
          <w:szCs w:val="16"/>
        </w:rPr>
        <w:t xml:space="preserve"> </w:t>
      </w:r>
      <w:r w:rsidR="00BB6C71" w:rsidRPr="0099571F">
        <w:rPr>
          <w:rFonts w:ascii="Verdana" w:hAnsi="Verdana" w:cs="Arial"/>
          <w:sz w:val="16"/>
          <w:szCs w:val="16"/>
        </w:rPr>
        <w:t>(</w:t>
      </w:r>
      <w:r w:rsidRPr="0099571F">
        <w:rPr>
          <w:rFonts w:ascii="Verdana" w:hAnsi="Verdana" w:cs="Arial"/>
          <w:sz w:val="16"/>
          <w:szCs w:val="16"/>
        </w:rPr>
        <w:t>nella rilevazione dell’I</w:t>
      </w:r>
      <w:r w:rsidR="00283C4D" w:rsidRPr="0099571F">
        <w:rPr>
          <w:rFonts w:ascii="Verdana" w:hAnsi="Verdana" w:cs="Arial"/>
          <w:sz w:val="16"/>
          <w:szCs w:val="16"/>
        </w:rPr>
        <w:t>STAT</w:t>
      </w:r>
      <w:r w:rsidRPr="0099571F">
        <w:rPr>
          <w:rFonts w:ascii="Verdana" w:hAnsi="Verdana" w:cs="Arial"/>
          <w:sz w:val="16"/>
          <w:szCs w:val="16"/>
        </w:rPr>
        <w:t xml:space="preserve"> </w:t>
      </w:r>
      <w:r w:rsidR="00283C4D" w:rsidRPr="0099571F">
        <w:rPr>
          <w:rFonts w:ascii="Verdana" w:hAnsi="Verdana" w:cs="Arial"/>
          <w:sz w:val="16"/>
          <w:szCs w:val="16"/>
        </w:rPr>
        <w:t xml:space="preserve">figurano </w:t>
      </w:r>
      <w:r w:rsidRPr="0099571F">
        <w:rPr>
          <w:rFonts w:ascii="Verdana" w:hAnsi="Verdana" w:cs="Arial"/>
          <w:sz w:val="16"/>
          <w:szCs w:val="16"/>
        </w:rPr>
        <w:t>tra gli occupati</w:t>
      </w:r>
      <w:r w:rsidR="00BB6C71" w:rsidRPr="0099571F">
        <w:rPr>
          <w:rFonts w:ascii="Verdana" w:hAnsi="Verdana" w:cs="Arial"/>
          <w:sz w:val="16"/>
          <w:szCs w:val="16"/>
        </w:rPr>
        <w:t>)</w:t>
      </w:r>
      <w:r w:rsidRPr="0099571F">
        <w:rPr>
          <w:rFonts w:ascii="Verdana" w:hAnsi="Verdana" w:cs="Arial"/>
          <w:sz w:val="16"/>
          <w:szCs w:val="16"/>
        </w:rPr>
        <w:t xml:space="preserve">. </w:t>
      </w:r>
    </w:p>
    <w:p w:rsidR="0061766F" w:rsidRPr="0099571F" w:rsidRDefault="0061766F" w:rsidP="00C33FF5">
      <w:pPr>
        <w:pStyle w:val="Paragrafoelenco1"/>
        <w:spacing w:after="0" w:line="288" w:lineRule="auto"/>
        <w:ind w:left="0" w:firstLine="709"/>
        <w:jc w:val="both"/>
        <w:rPr>
          <w:rFonts w:ascii="Verdana" w:hAnsi="Verdana" w:cs="Arial"/>
          <w:sz w:val="16"/>
          <w:szCs w:val="16"/>
        </w:rPr>
      </w:pPr>
      <w:r w:rsidRPr="0099571F">
        <w:rPr>
          <w:rFonts w:ascii="Verdana" w:hAnsi="Verdana" w:cs="Arial"/>
          <w:sz w:val="16"/>
          <w:szCs w:val="16"/>
        </w:rPr>
        <w:t>Di seguito la descrizione delle singole variabili e le fonti:</w:t>
      </w:r>
    </w:p>
    <w:p w:rsidR="00017513" w:rsidRPr="0099571F" w:rsidRDefault="00017513" w:rsidP="00017513">
      <w:pPr>
        <w:pStyle w:val="Paragrafoelenco1"/>
        <w:numPr>
          <w:ilvl w:val="0"/>
          <w:numId w:val="6"/>
        </w:numPr>
        <w:spacing w:after="0" w:line="288" w:lineRule="auto"/>
        <w:jc w:val="both"/>
        <w:rPr>
          <w:rFonts w:ascii="Verdana" w:hAnsi="Verdana" w:cs="Arial"/>
          <w:sz w:val="16"/>
          <w:szCs w:val="16"/>
        </w:rPr>
      </w:pPr>
      <w:r w:rsidRPr="0099571F">
        <w:rPr>
          <w:rFonts w:ascii="Verdana" w:hAnsi="Verdana" w:cs="Arial"/>
          <w:sz w:val="16"/>
          <w:szCs w:val="16"/>
        </w:rPr>
        <w:t xml:space="preserve">Tasso di inflazione </w:t>
      </w:r>
      <w:r w:rsidR="007713AA" w:rsidRPr="0099571F">
        <w:rPr>
          <w:rFonts w:ascii="Verdana" w:hAnsi="Verdana" w:cs="Arial"/>
          <w:sz w:val="16"/>
          <w:szCs w:val="16"/>
        </w:rPr>
        <w:t xml:space="preserve">dei prodotti </w:t>
      </w:r>
      <w:r w:rsidRPr="0099571F">
        <w:rPr>
          <w:rFonts w:ascii="Verdana" w:hAnsi="Verdana" w:cs="Arial"/>
          <w:sz w:val="16"/>
          <w:szCs w:val="16"/>
        </w:rPr>
        <w:t>ad alta frequenza</w:t>
      </w:r>
      <w:r w:rsidR="007713AA" w:rsidRPr="0099571F">
        <w:rPr>
          <w:rFonts w:ascii="Verdana" w:hAnsi="Verdana" w:cs="Arial"/>
          <w:sz w:val="16"/>
          <w:szCs w:val="16"/>
        </w:rPr>
        <w:t xml:space="preserve"> d’acquisto</w:t>
      </w:r>
      <w:r w:rsidRPr="0099571F">
        <w:rPr>
          <w:rFonts w:ascii="Verdana" w:hAnsi="Verdana" w:cs="Arial"/>
          <w:sz w:val="16"/>
          <w:szCs w:val="16"/>
        </w:rPr>
        <w:t xml:space="preserve">: </w:t>
      </w:r>
      <w:r w:rsidR="007713AA" w:rsidRPr="0099571F">
        <w:rPr>
          <w:rFonts w:ascii="Verdana" w:hAnsi="Verdana" w:cs="Arial"/>
          <w:sz w:val="16"/>
          <w:szCs w:val="16"/>
        </w:rPr>
        <w:t>dati mensili di fonte ISTAT, variazione tendenziale</w:t>
      </w:r>
      <w:r w:rsidRPr="0099571F">
        <w:rPr>
          <w:rFonts w:ascii="Verdana" w:hAnsi="Verdana" w:cs="Arial"/>
          <w:sz w:val="16"/>
          <w:szCs w:val="16"/>
        </w:rPr>
        <w:t>;</w:t>
      </w:r>
    </w:p>
    <w:p w:rsidR="0061766F" w:rsidRPr="0099571F" w:rsidRDefault="0061766F" w:rsidP="00C33FF5">
      <w:pPr>
        <w:pStyle w:val="Paragrafoelenco1"/>
        <w:numPr>
          <w:ilvl w:val="0"/>
          <w:numId w:val="6"/>
        </w:numPr>
        <w:spacing w:after="0" w:line="288" w:lineRule="auto"/>
        <w:jc w:val="both"/>
        <w:rPr>
          <w:rFonts w:ascii="Verdana" w:hAnsi="Verdana" w:cs="Arial"/>
          <w:sz w:val="16"/>
          <w:szCs w:val="16"/>
        </w:rPr>
      </w:pPr>
      <w:r w:rsidRPr="0099571F">
        <w:rPr>
          <w:rFonts w:ascii="Verdana" w:hAnsi="Verdana" w:cs="Arial"/>
          <w:sz w:val="16"/>
          <w:szCs w:val="16"/>
        </w:rPr>
        <w:t>Tasso di disoccupazione, occupati e disoccupati: dati mensili d</w:t>
      </w:r>
      <w:r w:rsidR="009D3CE8" w:rsidRPr="0099571F">
        <w:rPr>
          <w:rFonts w:ascii="Verdana" w:hAnsi="Verdana" w:cs="Arial"/>
          <w:sz w:val="16"/>
          <w:szCs w:val="16"/>
        </w:rPr>
        <w:t xml:space="preserve">estagionalizzati di fonte </w:t>
      </w:r>
      <w:r w:rsidR="00017513" w:rsidRPr="0099571F">
        <w:rPr>
          <w:rFonts w:ascii="Verdana" w:hAnsi="Verdana" w:cs="Arial"/>
          <w:sz w:val="16"/>
          <w:szCs w:val="16"/>
        </w:rPr>
        <w:t>ISTAT</w:t>
      </w:r>
      <w:r w:rsidR="009D3CE8" w:rsidRPr="0099571F">
        <w:rPr>
          <w:rFonts w:ascii="Verdana" w:hAnsi="Verdana" w:cs="Arial"/>
          <w:sz w:val="16"/>
          <w:szCs w:val="16"/>
        </w:rPr>
        <w:t>;</w:t>
      </w:r>
    </w:p>
    <w:p w:rsidR="0061766F" w:rsidRPr="0099571F" w:rsidRDefault="0061766F" w:rsidP="00C33FF5">
      <w:pPr>
        <w:pStyle w:val="Paragrafoelenco1"/>
        <w:numPr>
          <w:ilvl w:val="0"/>
          <w:numId w:val="6"/>
        </w:numPr>
        <w:spacing w:after="0" w:line="288" w:lineRule="auto"/>
        <w:jc w:val="both"/>
        <w:rPr>
          <w:rFonts w:ascii="Verdana" w:hAnsi="Verdana" w:cs="Arial"/>
          <w:sz w:val="16"/>
          <w:szCs w:val="16"/>
        </w:rPr>
      </w:pPr>
      <w:r w:rsidRPr="0099571F">
        <w:rPr>
          <w:rFonts w:ascii="Verdana" w:hAnsi="Verdana" w:cs="Arial"/>
          <w:sz w:val="16"/>
          <w:szCs w:val="16"/>
        </w:rPr>
        <w:t>Ore CIG: dati mensili INPS sulle ore di CIG effettivamente utilizzate (tiraggio, confronti omogenei</w:t>
      </w:r>
      <w:r w:rsidR="003D647F" w:rsidRPr="0099571F">
        <w:rPr>
          <w:rFonts w:ascii="Verdana" w:hAnsi="Verdana" w:cs="Arial"/>
          <w:sz w:val="16"/>
          <w:szCs w:val="16"/>
        </w:rPr>
        <w:t>)</w:t>
      </w:r>
      <w:r w:rsidR="009D3CE8" w:rsidRPr="0099571F">
        <w:rPr>
          <w:rFonts w:ascii="Verdana" w:hAnsi="Verdana" w:cs="Arial"/>
          <w:sz w:val="16"/>
          <w:szCs w:val="16"/>
        </w:rPr>
        <w:t>;</w:t>
      </w:r>
      <w:r w:rsidR="00AD0A88" w:rsidRPr="0099571F">
        <w:rPr>
          <w:rFonts w:ascii="Verdana" w:hAnsi="Verdana" w:cs="Arial"/>
          <w:sz w:val="16"/>
          <w:szCs w:val="16"/>
        </w:rPr>
        <w:t xml:space="preserve"> tale stima costituisce un’approssimazione dal momento che </w:t>
      </w:r>
      <w:r w:rsidR="0022446D" w:rsidRPr="0099571F">
        <w:rPr>
          <w:rFonts w:ascii="Verdana" w:hAnsi="Verdana" w:cs="Arial"/>
          <w:sz w:val="16"/>
          <w:szCs w:val="16"/>
        </w:rPr>
        <w:t>le comunicazioni delle aziende all’INPS non sono sempre contestuali al periodo di fruizione del sussidio da parte del lavoratore</w:t>
      </w:r>
      <w:r w:rsidR="00002EF3" w:rsidRPr="0099571F">
        <w:rPr>
          <w:rFonts w:ascii="Verdana" w:hAnsi="Verdana" w:cs="Arial"/>
          <w:sz w:val="16"/>
          <w:szCs w:val="16"/>
        </w:rPr>
        <w:t>. I dati sono stati destagionalizzati con TRAMO-SEATS</w:t>
      </w:r>
      <w:r w:rsidR="00AD0A88" w:rsidRPr="0099571F">
        <w:rPr>
          <w:rFonts w:ascii="Verdana" w:hAnsi="Verdana" w:cs="Arial"/>
          <w:sz w:val="16"/>
          <w:szCs w:val="16"/>
        </w:rPr>
        <w:t>;</w:t>
      </w:r>
    </w:p>
    <w:p w:rsidR="009D3CE8" w:rsidRPr="0099571F" w:rsidRDefault="0061766F" w:rsidP="009D3CE8">
      <w:pPr>
        <w:pStyle w:val="Paragrafoelenco1"/>
        <w:numPr>
          <w:ilvl w:val="0"/>
          <w:numId w:val="6"/>
        </w:numPr>
        <w:spacing w:after="0" w:line="288" w:lineRule="auto"/>
        <w:jc w:val="both"/>
        <w:rPr>
          <w:rFonts w:ascii="Verdana" w:hAnsi="Verdana" w:cs="Arial"/>
          <w:sz w:val="16"/>
          <w:szCs w:val="16"/>
        </w:rPr>
      </w:pPr>
      <w:r w:rsidRPr="0099571F">
        <w:rPr>
          <w:rFonts w:ascii="Verdana" w:hAnsi="Verdana" w:cs="Arial"/>
          <w:sz w:val="16"/>
          <w:szCs w:val="16"/>
        </w:rPr>
        <w:t>CIG: numero di CIG-teste, calcolate dividendo le Ore CIG</w:t>
      </w:r>
      <w:r w:rsidR="009D3CE8" w:rsidRPr="0099571F">
        <w:rPr>
          <w:rFonts w:ascii="Verdana" w:hAnsi="Verdana" w:cs="Arial"/>
          <w:sz w:val="16"/>
          <w:szCs w:val="16"/>
        </w:rPr>
        <w:t xml:space="preserve"> totali per 2000</w:t>
      </w:r>
      <w:r w:rsidR="00F24BEE" w:rsidRPr="0099571F">
        <w:rPr>
          <w:rFonts w:ascii="Verdana" w:hAnsi="Verdana" w:cs="Arial"/>
          <w:sz w:val="16"/>
          <w:szCs w:val="16"/>
        </w:rPr>
        <w:t xml:space="preserve"> ore annue (166,6 al mese)</w:t>
      </w:r>
      <w:r w:rsidR="009D3CE8" w:rsidRPr="0099571F">
        <w:rPr>
          <w:rFonts w:ascii="Verdana" w:hAnsi="Verdana" w:cs="Arial"/>
          <w:sz w:val="16"/>
          <w:szCs w:val="16"/>
        </w:rPr>
        <w:t xml:space="preserve">; </w:t>
      </w:r>
    </w:p>
    <w:p w:rsidR="0061766F" w:rsidRPr="003D647F" w:rsidRDefault="009D3CE8" w:rsidP="009D3CE8">
      <w:pPr>
        <w:pStyle w:val="Paragrafoelenco1"/>
        <w:numPr>
          <w:ilvl w:val="0"/>
          <w:numId w:val="6"/>
        </w:numPr>
        <w:spacing w:after="0" w:line="288" w:lineRule="auto"/>
        <w:jc w:val="both"/>
        <w:rPr>
          <w:rFonts w:ascii="Arial" w:hAnsi="Arial" w:cs="Arial"/>
          <w:sz w:val="16"/>
          <w:szCs w:val="16"/>
        </w:rPr>
      </w:pPr>
      <w:r w:rsidRPr="0099571F">
        <w:rPr>
          <w:rFonts w:ascii="Verdana" w:hAnsi="Verdana" w:cs="Arial"/>
          <w:sz w:val="16"/>
          <w:szCs w:val="16"/>
        </w:rPr>
        <w:t>F</w:t>
      </w:r>
      <w:r w:rsidR="0061766F" w:rsidRPr="0099571F">
        <w:rPr>
          <w:rFonts w:ascii="Verdana" w:hAnsi="Verdana" w:cs="Arial"/>
          <w:sz w:val="16"/>
          <w:szCs w:val="16"/>
        </w:rPr>
        <w:t>orze di lavoro potenziali: sottoinsieme delle persone che (1) si dichiarano in cerca di lavoro, (2) sono disponibili a lavorare nelle prossime due settimane e (3) anche se non lo hanno fatto nelle ultime quattro settimane, affermano di aver compiuto una o più azioni di ricerca da 2 a 3 mesi pri</w:t>
      </w:r>
      <w:r w:rsidR="003D647F" w:rsidRPr="0099571F">
        <w:rPr>
          <w:rFonts w:ascii="Verdana" w:hAnsi="Verdana" w:cs="Arial"/>
          <w:sz w:val="16"/>
          <w:szCs w:val="16"/>
        </w:rPr>
        <w:t>ma dell’intervista</w:t>
      </w:r>
      <w:r w:rsidR="00F24BEE" w:rsidRPr="0099571F">
        <w:rPr>
          <w:rFonts w:ascii="Verdana" w:hAnsi="Verdana" w:cs="Arial"/>
          <w:sz w:val="16"/>
          <w:szCs w:val="16"/>
        </w:rPr>
        <w:t>.</w:t>
      </w:r>
      <w:r w:rsidR="003D647F" w:rsidRPr="0099571F">
        <w:rPr>
          <w:rFonts w:ascii="Verdana" w:hAnsi="Verdana" w:cs="Arial"/>
          <w:sz w:val="16"/>
          <w:szCs w:val="16"/>
        </w:rPr>
        <w:t xml:space="preserve"> I dati sulle forze lavoro potenziali, forniti dall’ISTAT su base trimestrale, sono stati </w:t>
      </w:r>
      <w:r w:rsidR="00852BA1" w:rsidRPr="0099571F">
        <w:rPr>
          <w:rFonts w:ascii="Verdana" w:hAnsi="Verdana" w:cs="Arial"/>
          <w:sz w:val="16"/>
          <w:szCs w:val="16"/>
        </w:rPr>
        <w:t xml:space="preserve">destagionalizzati con TRAMO-SEATS e </w:t>
      </w:r>
      <w:r w:rsidR="003D647F" w:rsidRPr="0099571F">
        <w:rPr>
          <w:rFonts w:ascii="Verdana" w:hAnsi="Verdana" w:cs="Arial"/>
          <w:sz w:val="16"/>
          <w:szCs w:val="16"/>
        </w:rPr>
        <w:t>mensilizzati</w:t>
      </w:r>
      <w:r w:rsidR="003D647F" w:rsidRPr="003D647F">
        <w:rPr>
          <w:rFonts w:ascii="Arial" w:hAnsi="Arial" w:cs="Arial"/>
          <w:sz w:val="16"/>
          <w:szCs w:val="16"/>
        </w:rPr>
        <w:t>.</w:t>
      </w:r>
    </w:p>
    <w:p w:rsidR="003D647F" w:rsidRPr="003D647F" w:rsidRDefault="003D647F" w:rsidP="003D647F">
      <w:pPr>
        <w:pStyle w:val="Paragrafoelenco1"/>
        <w:spacing w:after="0" w:line="288" w:lineRule="auto"/>
        <w:ind w:left="1429"/>
        <w:jc w:val="both"/>
        <w:rPr>
          <w:rFonts w:ascii="Arial" w:hAnsi="Arial" w:cs="Arial"/>
          <w:sz w:val="16"/>
          <w:szCs w:val="16"/>
        </w:rPr>
      </w:pPr>
    </w:p>
    <w:p w:rsidR="003D647F" w:rsidRPr="0099571F" w:rsidRDefault="003D647F" w:rsidP="0099571F">
      <w:pPr>
        <w:pStyle w:val="Paragrafoelenco1"/>
        <w:spacing w:after="0" w:line="288" w:lineRule="auto"/>
        <w:jc w:val="both"/>
        <w:rPr>
          <w:rFonts w:ascii="Verdana" w:hAnsi="Verdana" w:cs="Arial"/>
          <w:sz w:val="16"/>
          <w:szCs w:val="16"/>
        </w:rPr>
      </w:pPr>
      <w:r w:rsidRPr="0099571F">
        <w:rPr>
          <w:rFonts w:ascii="Verdana" w:hAnsi="Verdana" w:cs="Arial"/>
          <w:b/>
          <w:sz w:val="16"/>
          <w:szCs w:val="16"/>
        </w:rPr>
        <w:t>Per il presente numero</w:t>
      </w:r>
    </w:p>
    <w:p w:rsidR="003D647F" w:rsidRPr="0099571F" w:rsidRDefault="003D647F" w:rsidP="0099571F">
      <w:pPr>
        <w:pStyle w:val="Paragrafoelenco1"/>
        <w:numPr>
          <w:ilvl w:val="0"/>
          <w:numId w:val="6"/>
        </w:numPr>
        <w:spacing w:after="0" w:line="288" w:lineRule="auto"/>
        <w:ind w:left="720"/>
        <w:jc w:val="both"/>
        <w:rPr>
          <w:rFonts w:ascii="Verdana" w:hAnsi="Verdana" w:cs="Arial"/>
          <w:sz w:val="16"/>
          <w:szCs w:val="16"/>
        </w:rPr>
      </w:pPr>
      <w:r w:rsidRPr="0099571F">
        <w:rPr>
          <w:rFonts w:ascii="Verdana" w:hAnsi="Verdana" w:cs="Arial"/>
          <w:sz w:val="16"/>
          <w:szCs w:val="16"/>
        </w:rPr>
        <w:t>I dati sulle ore di CIG effettivamente utilizzate</w:t>
      </w:r>
      <w:r w:rsidR="00EA6091" w:rsidRPr="0099571F">
        <w:rPr>
          <w:rFonts w:ascii="Verdana" w:hAnsi="Verdana" w:cs="Arial"/>
          <w:sz w:val="16"/>
          <w:szCs w:val="16"/>
        </w:rPr>
        <w:t xml:space="preserve"> sono stati destagionalizzati e, per gli</w:t>
      </w:r>
      <w:r w:rsidR="00AD0A88" w:rsidRPr="0099571F">
        <w:rPr>
          <w:rFonts w:ascii="Verdana" w:hAnsi="Verdana" w:cs="Arial"/>
          <w:sz w:val="16"/>
          <w:szCs w:val="16"/>
        </w:rPr>
        <w:t xml:space="preserve"> ultimi </w:t>
      </w:r>
      <w:r w:rsidR="0074269E" w:rsidRPr="0099571F">
        <w:rPr>
          <w:rFonts w:ascii="Verdana" w:hAnsi="Verdana" w:cs="Arial"/>
          <w:sz w:val="16"/>
          <w:szCs w:val="16"/>
        </w:rPr>
        <w:t>due</w:t>
      </w:r>
      <w:r w:rsidR="00AD0A88" w:rsidRPr="0099571F">
        <w:rPr>
          <w:rFonts w:ascii="Verdana" w:hAnsi="Verdana" w:cs="Arial"/>
          <w:sz w:val="16"/>
          <w:szCs w:val="16"/>
        </w:rPr>
        <w:t xml:space="preserve"> mesi</w:t>
      </w:r>
      <w:r w:rsidR="00EA6091" w:rsidRPr="0099571F">
        <w:rPr>
          <w:rFonts w:ascii="Verdana" w:hAnsi="Verdana" w:cs="Arial"/>
          <w:sz w:val="16"/>
          <w:szCs w:val="16"/>
        </w:rPr>
        <w:t>,</w:t>
      </w:r>
      <w:r w:rsidRPr="0099571F">
        <w:rPr>
          <w:rFonts w:ascii="Verdana" w:hAnsi="Verdana" w:cs="Arial"/>
          <w:sz w:val="16"/>
          <w:szCs w:val="16"/>
        </w:rPr>
        <w:t xml:space="preserve"> stimati </w:t>
      </w:r>
      <w:r w:rsidR="00D75BB6" w:rsidRPr="0099571F">
        <w:rPr>
          <w:rFonts w:ascii="Verdana" w:hAnsi="Verdana" w:cs="Arial"/>
          <w:sz w:val="16"/>
          <w:szCs w:val="16"/>
        </w:rPr>
        <w:t>con TRAMO-SEATS</w:t>
      </w:r>
      <w:r w:rsidRPr="0099571F">
        <w:rPr>
          <w:rFonts w:ascii="Verdana" w:hAnsi="Verdana" w:cs="Arial"/>
          <w:sz w:val="16"/>
          <w:szCs w:val="16"/>
        </w:rPr>
        <w:t>;</w:t>
      </w:r>
    </w:p>
    <w:p w:rsidR="003D647F" w:rsidRPr="0099571F" w:rsidRDefault="003D647F" w:rsidP="0099571F">
      <w:pPr>
        <w:pStyle w:val="Paragrafoelenco1"/>
        <w:numPr>
          <w:ilvl w:val="0"/>
          <w:numId w:val="6"/>
        </w:numPr>
        <w:spacing w:after="0" w:line="288" w:lineRule="auto"/>
        <w:ind w:left="720"/>
        <w:jc w:val="both"/>
        <w:rPr>
          <w:rFonts w:ascii="Verdana" w:hAnsi="Verdana" w:cs="Arial"/>
          <w:sz w:val="16"/>
          <w:szCs w:val="16"/>
        </w:rPr>
      </w:pPr>
      <w:r w:rsidRPr="0099571F">
        <w:rPr>
          <w:rFonts w:ascii="Verdana" w:hAnsi="Verdana" w:cs="Arial"/>
          <w:sz w:val="16"/>
          <w:szCs w:val="16"/>
        </w:rPr>
        <w:t xml:space="preserve">I dati </w:t>
      </w:r>
      <w:r w:rsidR="00B6749E" w:rsidRPr="0099571F">
        <w:rPr>
          <w:rFonts w:ascii="Verdana" w:hAnsi="Verdana" w:cs="Arial"/>
          <w:sz w:val="16"/>
          <w:szCs w:val="16"/>
        </w:rPr>
        <w:t xml:space="preserve">sulle forze di lavoro potenziali </w:t>
      </w:r>
      <w:r w:rsidRPr="0099571F">
        <w:rPr>
          <w:rFonts w:ascii="Verdana" w:hAnsi="Verdana" w:cs="Arial"/>
          <w:sz w:val="16"/>
          <w:szCs w:val="16"/>
        </w:rPr>
        <w:t xml:space="preserve">per </w:t>
      </w:r>
      <w:r w:rsidR="009974AB" w:rsidRPr="0099571F">
        <w:rPr>
          <w:rFonts w:ascii="Verdana" w:hAnsi="Verdana" w:cs="Arial"/>
          <w:sz w:val="16"/>
          <w:szCs w:val="16"/>
        </w:rPr>
        <w:t xml:space="preserve">gli ultimi </w:t>
      </w:r>
      <w:r w:rsidR="002F28AD" w:rsidRPr="0099571F">
        <w:rPr>
          <w:rFonts w:ascii="Verdana" w:hAnsi="Verdana" w:cs="Arial"/>
          <w:sz w:val="16"/>
          <w:szCs w:val="16"/>
        </w:rPr>
        <w:t xml:space="preserve">quattro </w:t>
      </w:r>
      <w:r w:rsidR="00E66B80" w:rsidRPr="0099571F">
        <w:rPr>
          <w:rFonts w:ascii="Verdana" w:hAnsi="Verdana" w:cs="Arial"/>
          <w:sz w:val="16"/>
          <w:szCs w:val="16"/>
        </w:rPr>
        <w:t>mesi</w:t>
      </w:r>
      <w:r w:rsidR="009974AB" w:rsidRPr="0099571F">
        <w:rPr>
          <w:rFonts w:ascii="Verdana" w:hAnsi="Verdana" w:cs="Arial"/>
          <w:sz w:val="16"/>
          <w:szCs w:val="16"/>
        </w:rPr>
        <w:t xml:space="preserve"> </w:t>
      </w:r>
      <w:r w:rsidRPr="0099571F">
        <w:rPr>
          <w:rFonts w:ascii="Verdana" w:hAnsi="Verdana" w:cs="Arial"/>
          <w:sz w:val="16"/>
          <w:szCs w:val="16"/>
        </w:rPr>
        <w:t xml:space="preserve">sono stimati applicando ai dati trimestrali un modello </w:t>
      </w:r>
      <w:r w:rsidR="00852BA1" w:rsidRPr="0099571F">
        <w:rPr>
          <w:rFonts w:ascii="Verdana" w:hAnsi="Verdana" w:cs="Arial"/>
          <w:sz w:val="16"/>
          <w:szCs w:val="16"/>
        </w:rPr>
        <w:t xml:space="preserve">di previsione </w:t>
      </w:r>
      <w:r w:rsidRPr="0099571F">
        <w:rPr>
          <w:rFonts w:ascii="Verdana" w:hAnsi="Verdana" w:cs="Arial"/>
          <w:sz w:val="16"/>
          <w:szCs w:val="16"/>
        </w:rPr>
        <w:t>che tenga c</w:t>
      </w:r>
      <w:r w:rsidR="00D75BB6" w:rsidRPr="0099571F">
        <w:rPr>
          <w:rFonts w:ascii="Verdana" w:hAnsi="Verdana" w:cs="Arial"/>
          <w:sz w:val="16"/>
          <w:szCs w:val="16"/>
        </w:rPr>
        <w:t>onto delle ciclicità stagionali</w:t>
      </w:r>
      <w:r w:rsidRPr="0099571F">
        <w:rPr>
          <w:rFonts w:ascii="Verdana" w:hAnsi="Verdana" w:cs="Arial"/>
          <w:sz w:val="16"/>
          <w:szCs w:val="16"/>
        </w:rPr>
        <w:t xml:space="preserve"> </w:t>
      </w:r>
      <w:r w:rsidR="00D75BB6" w:rsidRPr="0099571F">
        <w:rPr>
          <w:rFonts w:ascii="Verdana" w:hAnsi="Verdana" w:cs="Arial"/>
          <w:sz w:val="16"/>
          <w:szCs w:val="16"/>
        </w:rPr>
        <w:t>(le elaborazioni sono state effettuate con TRAMO-SEATS). L</w:t>
      </w:r>
      <w:r w:rsidRPr="0099571F">
        <w:rPr>
          <w:rFonts w:ascii="Verdana" w:hAnsi="Verdana" w:cs="Arial"/>
          <w:sz w:val="16"/>
          <w:szCs w:val="16"/>
        </w:rPr>
        <w:t>a previsione è stata poi opportunamente mensilizzata.</w:t>
      </w:r>
      <w:r w:rsidR="00852BA1" w:rsidRPr="0099571F">
        <w:rPr>
          <w:rFonts w:ascii="Verdana" w:hAnsi="Verdana" w:cs="Arial"/>
          <w:sz w:val="16"/>
          <w:szCs w:val="16"/>
        </w:rPr>
        <w:t xml:space="preserve"> </w:t>
      </w:r>
    </w:p>
    <w:p w:rsidR="00640849" w:rsidRPr="009D3CE8" w:rsidRDefault="00640849" w:rsidP="00640849">
      <w:pPr>
        <w:pStyle w:val="Paragrafoelenco1"/>
        <w:spacing w:after="0" w:line="24" w:lineRule="atLeast"/>
        <w:jc w:val="both"/>
        <w:rPr>
          <w:rFonts w:ascii="Arial" w:hAnsi="Arial" w:cs="Arial"/>
          <w:sz w:val="16"/>
          <w:szCs w:val="16"/>
        </w:rPr>
      </w:pPr>
    </w:p>
    <w:p w:rsidR="0061766F" w:rsidRDefault="0061766F" w:rsidP="00C3165A">
      <w:pPr>
        <w:pStyle w:val="Paragrafoelenco1"/>
        <w:spacing w:after="0" w:line="288" w:lineRule="auto"/>
        <w:ind w:left="0" w:firstLine="709"/>
        <w:jc w:val="both"/>
        <w:rPr>
          <w:rFonts w:ascii="Arial" w:hAnsi="Arial" w:cs="Arial"/>
          <w:b/>
          <w:sz w:val="16"/>
          <w:szCs w:val="16"/>
          <w:lang w:val="en-US"/>
        </w:rPr>
      </w:pPr>
      <w:r w:rsidRPr="009D3CE8">
        <w:rPr>
          <w:rFonts w:ascii="Arial" w:hAnsi="Arial" w:cs="Arial"/>
          <w:b/>
          <w:sz w:val="16"/>
          <w:szCs w:val="16"/>
          <w:lang w:val="en-US"/>
        </w:rPr>
        <w:t>Riferimenti</w:t>
      </w:r>
    </w:p>
    <w:p w:rsidR="00640849" w:rsidRPr="0099571F" w:rsidRDefault="0061766F" w:rsidP="00C3165A">
      <w:pPr>
        <w:pStyle w:val="Paragrafoelenco1"/>
        <w:numPr>
          <w:ilvl w:val="0"/>
          <w:numId w:val="8"/>
        </w:numPr>
        <w:spacing w:after="0" w:line="288" w:lineRule="auto"/>
        <w:ind w:left="0"/>
        <w:jc w:val="both"/>
        <w:rPr>
          <w:rFonts w:ascii="Verdana" w:hAnsi="Verdana" w:cs="Arial"/>
          <w:sz w:val="14"/>
          <w:szCs w:val="14"/>
          <w:lang w:val="en-US"/>
        </w:rPr>
      </w:pPr>
      <w:r w:rsidRPr="0099571F">
        <w:rPr>
          <w:rFonts w:ascii="Verdana" w:hAnsi="Verdana" w:cs="Arial"/>
          <w:sz w:val="14"/>
          <w:szCs w:val="14"/>
          <w:lang w:val="en-US"/>
        </w:rPr>
        <w:t>Becchetti L., Castriota S., Giuntella O. (2010), “The Effects of Age and Job Protection on the Welfare Costs of Inflation and Unemployment”, European Journal of Political Economy, Vol. 26, pp. 137-146.</w:t>
      </w:r>
      <w:r w:rsidR="00C3165A" w:rsidRPr="0099571F">
        <w:rPr>
          <w:rFonts w:ascii="Verdana" w:hAnsi="Verdana" w:cs="Arial"/>
          <w:sz w:val="14"/>
          <w:szCs w:val="14"/>
          <w:lang w:val="en-US"/>
        </w:rPr>
        <w:t xml:space="preserve"> </w:t>
      </w:r>
    </w:p>
    <w:p w:rsidR="00C3165A" w:rsidRPr="0099571F" w:rsidRDefault="00C3165A" w:rsidP="00C3165A">
      <w:pPr>
        <w:pStyle w:val="Paragrafoelenco1"/>
        <w:spacing w:after="0" w:line="288" w:lineRule="auto"/>
        <w:ind w:left="0"/>
        <w:jc w:val="both"/>
        <w:rPr>
          <w:rFonts w:ascii="Verdana" w:hAnsi="Verdana" w:cs="Arial"/>
          <w:sz w:val="14"/>
          <w:szCs w:val="14"/>
          <w:lang w:val="en-US"/>
        </w:rPr>
      </w:pPr>
    </w:p>
    <w:p w:rsidR="00723FCE" w:rsidRPr="0099571F" w:rsidRDefault="0061766F" w:rsidP="00C3165A">
      <w:pPr>
        <w:pStyle w:val="Paragrafoelenco1"/>
        <w:numPr>
          <w:ilvl w:val="0"/>
          <w:numId w:val="8"/>
        </w:numPr>
        <w:spacing w:after="0" w:line="288" w:lineRule="auto"/>
        <w:ind w:left="0"/>
        <w:jc w:val="both"/>
        <w:rPr>
          <w:rFonts w:ascii="Verdana" w:hAnsi="Verdana" w:cs="Arial"/>
          <w:sz w:val="14"/>
          <w:szCs w:val="14"/>
          <w:lang w:val="en-US"/>
        </w:rPr>
      </w:pPr>
      <w:r w:rsidRPr="0099571F">
        <w:rPr>
          <w:rFonts w:ascii="Verdana" w:hAnsi="Verdana" w:cs="Arial"/>
          <w:sz w:val="14"/>
          <w:szCs w:val="14"/>
          <w:lang w:val="en-US"/>
        </w:rPr>
        <w:t>Di Tella R., MacCulloch R., Oswald A. (2001), “Preferences over Inflation and Unemployment: Evidence from Surveys of Happiness”, American Economic Review, Vol. 91, pp. 335-341.</w:t>
      </w:r>
    </w:p>
    <w:sectPr w:rsidR="00723FCE" w:rsidRPr="0099571F" w:rsidSect="00C45BEA">
      <w:headerReference w:type="default" r:id="rId11"/>
      <w:footerReference w:type="default" r:id="rId12"/>
      <w:pgSz w:w="11906" w:h="16838" w:code="9"/>
      <w:pgMar w:top="964" w:right="1134" w:bottom="964"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BDE" w:rsidRDefault="00B65BDE" w:rsidP="009E2AA9">
      <w:pPr>
        <w:spacing w:after="0" w:line="240" w:lineRule="auto"/>
      </w:pPr>
      <w:r>
        <w:separator/>
      </w:r>
    </w:p>
  </w:endnote>
  <w:endnote w:type="continuationSeparator" w:id="0">
    <w:p w:rsidR="00B65BDE" w:rsidRDefault="00B65BDE" w:rsidP="009E2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1840964086"/>
      <w:docPartObj>
        <w:docPartGallery w:val="Page Numbers (Bottom of Page)"/>
        <w:docPartUnique/>
      </w:docPartObj>
    </w:sdtPr>
    <w:sdtEndPr/>
    <w:sdtContent>
      <w:p w:rsidR="009E2AA9" w:rsidRPr="00F820E5" w:rsidRDefault="009E2AA9" w:rsidP="009B6E3B">
        <w:pPr>
          <w:pStyle w:val="Pidipagina"/>
          <w:spacing w:before="240"/>
          <w:jc w:val="center"/>
          <w:rPr>
            <w:rFonts w:ascii="Arial" w:hAnsi="Arial" w:cs="Arial"/>
            <w:sz w:val="20"/>
          </w:rPr>
        </w:pPr>
        <w:r w:rsidRPr="009B6E3B">
          <w:rPr>
            <w:rFonts w:ascii="Arial" w:hAnsi="Arial" w:cs="Arial"/>
            <w:sz w:val="20"/>
          </w:rPr>
          <w:fldChar w:fldCharType="begin"/>
        </w:r>
        <w:r w:rsidRPr="009B6E3B">
          <w:rPr>
            <w:rFonts w:ascii="Arial" w:hAnsi="Arial" w:cs="Arial"/>
            <w:sz w:val="20"/>
          </w:rPr>
          <w:instrText>PAGE   \* MERGEFORMAT</w:instrText>
        </w:r>
        <w:r w:rsidRPr="009B6E3B">
          <w:rPr>
            <w:rFonts w:ascii="Arial" w:hAnsi="Arial" w:cs="Arial"/>
            <w:sz w:val="20"/>
          </w:rPr>
          <w:fldChar w:fldCharType="separate"/>
        </w:r>
        <w:r w:rsidR="001260DD">
          <w:rPr>
            <w:rFonts w:ascii="Arial" w:hAnsi="Arial" w:cs="Arial"/>
            <w:noProof/>
            <w:sz w:val="20"/>
          </w:rPr>
          <w:t>2</w:t>
        </w:r>
        <w:r w:rsidRPr="009B6E3B">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BDE" w:rsidRDefault="00B65BDE" w:rsidP="009E2AA9">
      <w:pPr>
        <w:spacing w:after="0" w:line="240" w:lineRule="auto"/>
      </w:pPr>
      <w:r>
        <w:separator/>
      </w:r>
    </w:p>
  </w:footnote>
  <w:footnote w:type="continuationSeparator" w:id="0">
    <w:p w:rsidR="00B65BDE" w:rsidRDefault="00B65BDE" w:rsidP="009E2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FCE" w:rsidRDefault="00DB2FCE">
    <w:pPr>
      <w:pStyle w:val="Intestazione"/>
      <w:pBdr>
        <w:between w:val="single" w:sz="4" w:space="1" w:color="4F81BD" w:themeColor="accent1"/>
      </w:pBdr>
      <w:spacing w:line="276"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52B18"/>
    <w:multiLevelType w:val="hybridMultilevel"/>
    <w:tmpl w:val="037E34F4"/>
    <w:lvl w:ilvl="0" w:tplc="C32E4740">
      <w:start w:val="1"/>
      <w:numFmt w:val="decimal"/>
      <w:lvlText w:val="%1."/>
      <w:lvlJc w:val="left"/>
      <w:pPr>
        <w:ind w:left="1429" w:hanging="360"/>
      </w:pPr>
      <w:rPr>
        <w:b/>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
    <w:nsid w:val="1EE97BDF"/>
    <w:multiLevelType w:val="hybridMultilevel"/>
    <w:tmpl w:val="675A5D8E"/>
    <w:lvl w:ilvl="0" w:tplc="F5788B4C">
      <w:start w:val="20"/>
      <w:numFmt w:val="bullet"/>
      <w:lvlText w:val=""/>
      <w:lvlJc w:val="left"/>
      <w:pPr>
        <w:ind w:left="927" w:hanging="360"/>
      </w:pPr>
      <w:rPr>
        <w:rFonts w:ascii="Symbol" w:eastAsiaTheme="minorHAnsi" w:hAnsi="Symbo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nsid w:val="1F1F1D5C"/>
    <w:multiLevelType w:val="hybridMultilevel"/>
    <w:tmpl w:val="1AB051EC"/>
    <w:lvl w:ilvl="0" w:tplc="98D216C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0656D7C"/>
    <w:multiLevelType w:val="hybridMultilevel"/>
    <w:tmpl w:val="22F6B960"/>
    <w:lvl w:ilvl="0" w:tplc="0EA4109A">
      <w:numFmt w:val="bullet"/>
      <w:lvlText w:val="-"/>
      <w:lvlJc w:val="left"/>
      <w:pPr>
        <w:ind w:left="720" w:hanging="360"/>
      </w:pPr>
      <w:rPr>
        <w:rFonts w:ascii="Arial" w:eastAsia="Times New Roman"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BF62852"/>
    <w:multiLevelType w:val="hybridMultilevel"/>
    <w:tmpl w:val="974017C2"/>
    <w:lvl w:ilvl="0" w:tplc="EE9C919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2BFA4667"/>
    <w:multiLevelType w:val="hybridMultilevel"/>
    <w:tmpl w:val="639A7ECE"/>
    <w:lvl w:ilvl="0" w:tplc="56767434">
      <w:numFmt w:val="bullet"/>
      <w:lvlText w:val=""/>
      <w:lvlJc w:val="left"/>
      <w:pPr>
        <w:ind w:left="927" w:hanging="360"/>
      </w:pPr>
      <w:rPr>
        <w:rFonts w:ascii="Symbol" w:eastAsiaTheme="minorHAnsi" w:hAnsi="Symbol" w:cs="Arial" w:hint="default"/>
        <w:i/>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6">
    <w:nsid w:val="41D30B58"/>
    <w:multiLevelType w:val="hybridMultilevel"/>
    <w:tmpl w:val="A2E245B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7">
    <w:nsid w:val="4D212AA6"/>
    <w:multiLevelType w:val="hybridMultilevel"/>
    <w:tmpl w:val="D9ECD786"/>
    <w:lvl w:ilvl="0" w:tplc="C32E4740">
      <w:start w:val="1"/>
      <w:numFmt w:val="decimal"/>
      <w:lvlText w:val="%1."/>
      <w:lvlJc w:val="left"/>
      <w:pPr>
        <w:ind w:left="1429"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07C21C9"/>
    <w:multiLevelType w:val="hybridMultilevel"/>
    <w:tmpl w:val="C22C9596"/>
    <w:lvl w:ilvl="0" w:tplc="0EA4109A">
      <w:numFmt w:val="bullet"/>
      <w:lvlText w:val="-"/>
      <w:lvlJc w:val="left"/>
      <w:pPr>
        <w:ind w:left="1429" w:hanging="360"/>
      </w:pPr>
      <w:rPr>
        <w:rFonts w:ascii="Arial" w:eastAsia="Times New Roman" w:hAnsi="Arial" w:cs="Arial" w:hint="default"/>
        <w:b w:val="0"/>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nsid w:val="75842D86"/>
    <w:multiLevelType w:val="hybridMultilevel"/>
    <w:tmpl w:val="51441E36"/>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6"/>
  </w:num>
  <w:num w:numId="6">
    <w:abstractNumId w:val="8"/>
  </w:num>
  <w:num w:numId="7">
    <w:abstractNumId w:val="0"/>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283"/>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FCE"/>
    <w:rsid w:val="00002EF3"/>
    <w:rsid w:val="00003DB4"/>
    <w:rsid w:val="00010827"/>
    <w:rsid w:val="00017513"/>
    <w:rsid w:val="000312F5"/>
    <w:rsid w:val="00034D73"/>
    <w:rsid w:val="000401F0"/>
    <w:rsid w:val="000411EC"/>
    <w:rsid w:val="000458E2"/>
    <w:rsid w:val="00047779"/>
    <w:rsid w:val="000500ED"/>
    <w:rsid w:val="00052EB5"/>
    <w:rsid w:val="00055AF7"/>
    <w:rsid w:val="00060F85"/>
    <w:rsid w:val="000630BB"/>
    <w:rsid w:val="000648DF"/>
    <w:rsid w:val="00065DF9"/>
    <w:rsid w:val="00067EA9"/>
    <w:rsid w:val="00070E25"/>
    <w:rsid w:val="00072058"/>
    <w:rsid w:val="0007411C"/>
    <w:rsid w:val="000743DD"/>
    <w:rsid w:val="00080CB8"/>
    <w:rsid w:val="000812E9"/>
    <w:rsid w:val="00081E30"/>
    <w:rsid w:val="00083C1B"/>
    <w:rsid w:val="00084E7A"/>
    <w:rsid w:val="00094ABE"/>
    <w:rsid w:val="000969B6"/>
    <w:rsid w:val="000A0921"/>
    <w:rsid w:val="000A1983"/>
    <w:rsid w:val="000A4871"/>
    <w:rsid w:val="000A7412"/>
    <w:rsid w:val="000B468C"/>
    <w:rsid w:val="000C02A6"/>
    <w:rsid w:val="000C0B86"/>
    <w:rsid w:val="000D15D2"/>
    <w:rsid w:val="000D3060"/>
    <w:rsid w:val="000D4B70"/>
    <w:rsid w:val="000D647A"/>
    <w:rsid w:val="000E110D"/>
    <w:rsid w:val="000E1CD2"/>
    <w:rsid w:val="000E54AA"/>
    <w:rsid w:val="000E5D30"/>
    <w:rsid w:val="000E745D"/>
    <w:rsid w:val="000E74BB"/>
    <w:rsid w:val="000E77E9"/>
    <w:rsid w:val="000F7472"/>
    <w:rsid w:val="00105A05"/>
    <w:rsid w:val="00111B2F"/>
    <w:rsid w:val="00120CAE"/>
    <w:rsid w:val="00121A60"/>
    <w:rsid w:val="00122B6D"/>
    <w:rsid w:val="001260DD"/>
    <w:rsid w:val="00130EA2"/>
    <w:rsid w:val="00134449"/>
    <w:rsid w:val="00141D7E"/>
    <w:rsid w:val="001459C1"/>
    <w:rsid w:val="00151A25"/>
    <w:rsid w:val="001524D5"/>
    <w:rsid w:val="00152594"/>
    <w:rsid w:val="00153583"/>
    <w:rsid w:val="001539F4"/>
    <w:rsid w:val="001552D2"/>
    <w:rsid w:val="00161204"/>
    <w:rsid w:val="00163424"/>
    <w:rsid w:val="00165FA5"/>
    <w:rsid w:val="00166AB1"/>
    <w:rsid w:val="00167028"/>
    <w:rsid w:val="0017049B"/>
    <w:rsid w:val="001714AB"/>
    <w:rsid w:val="00173F12"/>
    <w:rsid w:val="00175156"/>
    <w:rsid w:val="001772C1"/>
    <w:rsid w:val="00184BA2"/>
    <w:rsid w:val="00184C8A"/>
    <w:rsid w:val="00190AA1"/>
    <w:rsid w:val="00194BFB"/>
    <w:rsid w:val="00195589"/>
    <w:rsid w:val="00197A70"/>
    <w:rsid w:val="001A3738"/>
    <w:rsid w:val="001B36DD"/>
    <w:rsid w:val="001C30AF"/>
    <w:rsid w:val="001D022C"/>
    <w:rsid w:val="001D181C"/>
    <w:rsid w:val="001D2D82"/>
    <w:rsid w:val="001D4987"/>
    <w:rsid w:val="001D54BD"/>
    <w:rsid w:val="001D6EA7"/>
    <w:rsid w:val="001E0D21"/>
    <w:rsid w:val="001E1144"/>
    <w:rsid w:val="001E2AE1"/>
    <w:rsid w:val="001E453A"/>
    <w:rsid w:val="001E7813"/>
    <w:rsid w:val="0020019F"/>
    <w:rsid w:val="002038E3"/>
    <w:rsid w:val="00204648"/>
    <w:rsid w:val="002120FF"/>
    <w:rsid w:val="002142C9"/>
    <w:rsid w:val="002146E4"/>
    <w:rsid w:val="002209CC"/>
    <w:rsid w:val="002229FD"/>
    <w:rsid w:val="00222A01"/>
    <w:rsid w:val="002235A3"/>
    <w:rsid w:val="0022446D"/>
    <w:rsid w:val="00230BED"/>
    <w:rsid w:val="00243CC6"/>
    <w:rsid w:val="00243F59"/>
    <w:rsid w:val="00245830"/>
    <w:rsid w:val="00245AE8"/>
    <w:rsid w:val="002466F1"/>
    <w:rsid w:val="002520A2"/>
    <w:rsid w:val="00252BFC"/>
    <w:rsid w:val="0026117F"/>
    <w:rsid w:val="00263A07"/>
    <w:rsid w:val="002659A6"/>
    <w:rsid w:val="002678BA"/>
    <w:rsid w:val="00270060"/>
    <w:rsid w:val="00270A06"/>
    <w:rsid w:val="00270DB0"/>
    <w:rsid w:val="002711E0"/>
    <w:rsid w:val="00271925"/>
    <w:rsid w:val="00273DE8"/>
    <w:rsid w:val="00275730"/>
    <w:rsid w:val="002776B9"/>
    <w:rsid w:val="002814FA"/>
    <w:rsid w:val="00283390"/>
    <w:rsid w:val="00283C4D"/>
    <w:rsid w:val="00285830"/>
    <w:rsid w:val="00290427"/>
    <w:rsid w:val="002935BC"/>
    <w:rsid w:val="00294B10"/>
    <w:rsid w:val="00296E9E"/>
    <w:rsid w:val="002A1478"/>
    <w:rsid w:val="002A5232"/>
    <w:rsid w:val="002B2ED0"/>
    <w:rsid w:val="002B3E90"/>
    <w:rsid w:val="002B464C"/>
    <w:rsid w:val="002C078E"/>
    <w:rsid w:val="002C16BD"/>
    <w:rsid w:val="002C1FD5"/>
    <w:rsid w:val="002C5B50"/>
    <w:rsid w:val="002D0B05"/>
    <w:rsid w:val="002D70BB"/>
    <w:rsid w:val="002E073A"/>
    <w:rsid w:val="002E1133"/>
    <w:rsid w:val="002E2185"/>
    <w:rsid w:val="002E32D6"/>
    <w:rsid w:val="002F28AD"/>
    <w:rsid w:val="002F5129"/>
    <w:rsid w:val="002F7928"/>
    <w:rsid w:val="0030086B"/>
    <w:rsid w:val="00301EDD"/>
    <w:rsid w:val="003020EA"/>
    <w:rsid w:val="00312690"/>
    <w:rsid w:val="00315E04"/>
    <w:rsid w:val="003236BD"/>
    <w:rsid w:val="00336993"/>
    <w:rsid w:val="00340E89"/>
    <w:rsid w:val="00341A57"/>
    <w:rsid w:val="00343855"/>
    <w:rsid w:val="00345CB6"/>
    <w:rsid w:val="00347919"/>
    <w:rsid w:val="003607D8"/>
    <w:rsid w:val="00370B42"/>
    <w:rsid w:val="00370C21"/>
    <w:rsid w:val="00370D97"/>
    <w:rsid w:val="0037486B"/>
    <w:rsid w:val="00376C50"/>
    <w:rsid w:val="00377590"/>
    <w:rsid w:val="003813F0"/>
    <w:rsid w:val="00386089"/>
    <w:rsid w:val="00387337"/>
    <w:rsid w:val="0039261D"/>
    <w:rsid w:val="00392B41"/>
    <w:rsid w:val="00393A70"/>
    <w:rsid w:val="00394597"/>
    <w:rsid w:val="00395023"/>
    <w:rsid w:val="0039681E"/>
    <w:rsid w:val="003A03AA"/>
    <w:rsid w:val="003A1926"/>
    <w:rsid w:val="003A3042"/>
    <w:rsid w:val="003A4AF0"/>
    <w:rsid w:val="003B0C59"/>
    <w:rsid w:val="003B732A"/>
    <w:rsid w:val="003C162B"/>
    <w:rsid w:val="003C511D"/>
    <w:rsid w:val="003C5BE8"/>
    <w:rsid w:val="003D20BA"/>
    <w:rsid w:val="003D3071"/>
    <w:rsid w:val="003D647F"/>
    <w:rsid w:val="003E029E"/>
    <w:rsid w:val="003E26B4"/>
    <w:rsid w:val="003E3763"/>
    <w:rsid w:val="003E43AD"/>
    <w:rsid w:val="003E57D3"/>
    <w:rsid w:val="003F295F"/>
    <w:rsid w:val="003F36D6"/>
    <w:rsid w:val="003F5080"/>
    <w:rsid w:val="003F50CF"/>
    <w:rsid w:val="003F6F68"/>
    <w:rsid w:val="003F7B26"/>
    <w:rsid w:val="00401D54"/>
    <w:rsid w:val="004118A7"/>
    <w:rsid w:val="004160A8"/>
    <w:rsid w:val="004214C3"/>
    <w:rsid w:val="00421DAD"/>
    <w:rsid w:val="00425DA3"/>
    <w:rsid w:val="004304BA"/>
    <w:rsid w:val="004327D0"/>
    <w:rsid w:val="00432FBD"/>
    <w:rsid w:val="00440B3B"/>
    <w:rsid w:val="00442AC3"/>
    <w:rsid w:val="00446633"/>
    <w:rsid w:val="004469FC"/>
    <w:rsid w:val="004519E9"/>
    <w:rsid w:val="004525DF"/>
    <w:rsid w:val="00453A1D"/>
    <w:rsid w:val="004547D3"/>
    <w:rsid w:val="0045669F"/>
    <w:rsid w:val="004624DC"/>
    <w:rsid w:val="004712EB"/>
    <w:rsid w:val="00480E3C"/>
    <w:rsid w:val="00481970"/>
    <w:rsid w:val="0048214B"/>
    <w:rsid w:val="00484883"/>
    <w:rsid w:val="004849E1"/>
    <w:rsid w:val="004906DA"/>
    <w:rsid w:val="00494AFF"/>
    <w:rsid w:val="0049581D"/>
    <w:rsid w:val="004A06FC"/>
    <w:rsid w:val="004A23C3"/>
    <w:rsid w:val="004A53F2"/>
    <w:rsid w:val="004A6FD7"/>
    <w:rsid w:val="004B6AFA"/>
    <w:rsid w:val="004C07F2"/>
    <w:rsid w:val="004C37C9"/>
    <w:rsid w:val="004C7D52"/>
    <w:rsid w:val="004D0164"/>
    <w:rsid w:val="004D28DB"/>
    <w:rsid w:val="004D6DA4"/>
    <w:rsid w:val="004E0222"/>
    <w:rsid w:val="004E248E"/>
    <w:rsid w:val="004F07C6"/>
    <w:rsid w:val="004F2C2F"/>
    <w:rsid w:val="004F6AEC"/>
    <w:rsid w:val="004F759B"/>
    <w:rsid w:val="00500DBC"/>
    <w:rsid w:val="0050116D"/>
    <w:rsid w:val="00505769"/>
    <w:rsid w:val="005068A5"/>
    <w:rsid w:val="00507AB2"/>
    <w:rsid w:val="00515AD1"/>
    <w:rsid w:val="00516CA6"/>
    <w:rsid w:val="00516FD7"/>
    <w:rsid w:val="00527745"/>
    <w:rsid w:val="00530BBF"/>
    <w:rsid w:val="00532CD7"/>
    <w:rsid w:val="00534C8E"/>
    <w:rsid w:val="00536EF0"/>
    <w:rsid w:val="00550359"/>
    <w:rsid w:val="00554044"/>
    <w:rsid w:val="005547A7"/>
    <w:rsid w:val="00562926"/>
    <w:rsid w:val="005658E3"/>
    <w:rsid w:val="00565CE1"/>
    <w:rsid w:val="00576A78"/>
    <w:rsid w:val="0058103E"/>
    <w:rsid w:val="005810C1"/>
    <w:rsid w:val="005814CF"/>
    <w:rsid w:val="00591EC1"/>
    <w:rsid w:val="005946C5"/>
    <w:rsid w:val="005A2C25"/>
    <w:rsid w:val="005B0161"/>
    <w:rsid w:val="005C0261"/>
    <w:rsid w:val="005C10ED"/>
    <w:rsid w:val="005C1C11"/>
    <w:rsid w:val="005D0E94"/>
    <w:rsid w:val="005D0F62"/>
    <w:rsid w:val="005D351C"/>
    <w:rsid w:val="005D7F94"/>
    <w:rsid w:val="005F196D"/>
    <w:rsid w:val="005F1A08"/>
    <w:rsid w:val="005F2B9F"/>
    <w:rsid w:val="00600468"/>
    <w:rsid w:val="00602974"/>
    <w:rsid w:val="00605608"/>
    <w:rsid w:val="00614FE9"/>
    <w:rsid w:val="0061766F"/>
    <w:rsid w:val="0062550E"/>
    <w:rsid w:val="00630574"/>
    <w:rsid w:val="00640849"/>
    <w:rsid w:val="006427EA"/>
    <w:rsid w:val="00643283"/>
    <w:rsid w:val="006438F0"/>
    <w:rsid w:val="006441E0"/>
    <w:rsid w:val="00647D52"/>
    <w:rsid w:val="00660BAF"/>
    <w:rsid w:val="00661B78"/>
    <w:rsid w:val="00664AA0"/>
    <w:rsid w:val="00665DB4"/>
    <w:rsid w:val="006802EB"/>
    <w:rsid w:val="00680BC4"/>
    <w:rsid w:val="006813B2"/>
    <w:rsid w:val="006858C7"/>
    <w:rsid w:val="00691811"/>
    <w:rsid w:val="00695383"/>
    <w:rsid w:val="006A11B5"/>
    <w:rsid w:val="006A3306"/>
    <w:rsid w:val="006A7F22"/>
    <w:rsid w:val="006B510D"/>
    <w:rsid w:val="006B7403"/>
    <w:rsid w:val="006B7DEE"/>
    <w:rsid w:val="006B7FC5"/>
    <w:rsid w:val="006C21AD"/>
    <w:rsid w:val="006D5E58"/>
    <w:rsid w:val="006E1304"/>
    <w:rsid w:val="006E5727"/>
    <w:rsid w:val="006E7155"/>
    <w:rsid w:val="0070033F"/>
    <w:rsid w:val="00706066"/>
    <w:rsid w:val="0070644A"/>
    <w:rsid w:val="00710FD0"/>
    <w:rsid w:val="007210B3"/>
    <w:rsid w:val="00722550"/>
    <w:rsid w:val="00723FCE"/>
    <w:rsid w:val="00724640"/>
    <w:rsid w:val="00730D13"/>
    <w:rsid w:val="00733353"/>
    <w:rsid w:val="00734C8F"/>
    <w:rsid w:val="007374AD"/>
    <w:rsid w:val="0074196E"/>
    <w:rsid w:val="00741B94"/>
    <w:rsid w:val="00742646"/>
    <w:rsid w:val="0074269E"/>
    <w:rsid w:val="00742E19"/>
    <w:rsid w:val="007506E2"/>
    <w:rsid w:val="00760144"/>
    <w:rsid w:val="00763281"/>
    <w:rsid w:val="00770831"/>
    <w:rsid w:val="0077087E"/>
    <w:rsid w:val="007708A1"/>
    <w:rsid w:val="007709B4"/>
    <w:rsid w:val="007713AA"/>
    <w:rsid w:val="007734D1"/>
    <w:rsid w:val="0077673E"/>
    <w:rsid w:val="0079138C"/>
    <w:rsid w:val="00791742"/>
    <w:rsid w:val="00797DF7"/>
    <w:rsid w:val="00797F53"/>
    <w:rsid w:val="007A0706"/>
    <w:rsid w:val="007A32AD"/>
    <w:rsid w:val="007A7105"/>
    <w:rsid w:val="007B3AF1"/>
    <w:rsid w:val="007B7073"/>
    <w:rsid w:val="007C00EA"/>
    <w:rsid w:val="007C0909"/>
    <w:rsid w:val="007C45B2"/>
    <w:rsid w:val="007C69A8"/>
    <w:rsid w:val="007D33D4"/>
    <w:rsid w:val="007D4E57"/>
    <w:rsid w:val="007D6258"/>
    <w:rsid w:val="007D6730"/>
    <w:rsid w:val="007D752C"/>
    <w:rsid w:val="007E0858"/>
    <w:rsid w:val="007E219B"/>
    <w:rsid w:val="007E287B"/>
    <w:rsid w:val="007E2E56"/>
    <w:rsid w:val="007F0CD3"/>
    <w:rsid w:val="007F7157"/>
    <w:rsid w:val="0080063B"/>
    <w:rsid w:val="00802EFF"/>
    <w:rsid w:val="0080399D"/>
    <w:rsid w:val="00804D16"/>
    <w:rsid w:val="00806922"/>
    <w:rsid w:val="0080720E"/>
    <w:rsid w:val="008118D7"/>
    <w:rsid w:val="008138BF"/>
    <w:rsid w:val="00814AA7"/>
    <w:rsid w:val="008164C8"/>
    <w:rsid w:val="00823AE3"/>
    <w:rsid w:val="0082402A"/>
    <w:rsid w:val="00825414"/>
    <w:rsid w:val="00825C74"/>
    <w:rsid w:val="00825E9E"/>
    <w:rsid w:val="00826E40"/>
    <w:rsid w:val="00841739"/>
    <w:rsid w:val="00842162"/>
    <w:rsid w:val="0084584A"/>
    <w:rsid w:val="00847559"/>
    <w:rsid w:val="00851934"/>
    <w:rsid w:val="00852BA1"/>
    <w:rsid w:val="00852F48"/>
    <w:rsid w:val="00853639"/>
    <w:rsid w:val="00860675"/>
    <w:rsid w:val="008671C8"/>
    <w:rsid w:val="00867786"/>
    <w:rsid w:val="008677FA"/>
    <w:rsid w:val="0087104A"/>
    <w:rsid w:val="00873AEE"/>
    <w:rsid w:val="00877C3D"/>
    <w:rsid w:val="00883AED"/>
    <w:rsid w:val="0088787E"/>
    <w:rsid w:val="00887E2E"/>
    <w:rsid w:val="00891266"/>
    <w:rsid w:val="00895188"/>
    <w:rsid w:val="00896943"/>
    <w:rsid w:val="0089756A"/>
    <w:rsid w:val="0089758D"/>
    <w:rsid w:val="008A2D75"/>
    <w:rsid w:val="008A4979"/>
    <w:rsid w:val="008A4C37"/>
    <w:rsid w:val="008A4CEF"/>
    <w:rsid w:val="008B4999"/>
    <w:rsid w:val="008B58A6"/>
    <w:rsid w:val="008C460E"/>
    <w:rsid w:val="008C4CDF"/>
    <w:rsid w:val="008D3AA1"/>
    <w:rsid w:val="008E2602"/>
    <w:rsid w:val="008E42FB"/>
    <w:rsid w:val="008E5574"/>
    <w:rsid w:val="008E7FC7"/>
    <w:rsid w:val="008F08AF"/>
    <w:rsid w:val="008F7F81"/>
    <w:rsid w:val="009003E7"/>
    <w:rsid w:val="00901887"/>
    <w:rsid w:val="00901CDB"/>
    <w:rsid w:val="009041FA"/>
    <w:rsid w:val="00904829"/>
    <w:rsid w:val="00907E33"/>
    <w:rsid w:val="00911177"/>
    <w:rsid w:val="00914324"/>
    <w:rsid w:val="00914A67"/>
    <w:rsid w:val="00920C2C"/>
    <w:rsid w:val="00922DCE"/>
    <w:rsid w:val="00925870"/>
    <w:rsid w:val="00933036"/>
    <w:rsid w:val="00947840"/>
    <w:rsid w:val="0095152E"/>
    <w:rsid w:val="00953256"/>
    <w:rsid w:val="00956C16"/>
    <w:rsid w:val="00962738"/>
    <w:rsid w:val="00963793"/>
    <w:rsid w:val="00965208"/>
    <w:rsid w:val="0096766F"/>
    <w:rsid w:val="00974101"/>
    <w:rsid w:val="00976BAE"/>
    <w:rsid w:val="0098126E"/>
    <w:rsid w:val="00981EEC"/>
    <w:rsid w:val="00994874"/>
    <w:rsid w:val="0099571F"/>
    <w:rsid w:val="009974AB"/>
    <w:rsid w:val="00997A5C"/>
    <w:rsid w:val="009A0FEA"/>
    <w:rsid w:val="009A71CA"/>
    <w:rsid w:val="009B1DCC"/>
    <w:rsid w:val="009B27E2"/>
    <w:rsid w:val="009B65AF"/>
    <w:rsid w:val="009B68EE"/>
    <w:rsid w:val="009B6E3B"/>
    <w:rsid w:val="009B6EC7"/>
    <w:rsid w:val="009B7D22"/>
    <w:rsid w:val="009C2EFE"/>
    <w:rsid w:val="009C2FD3"/>
    <w:rsid w:val="009C5BA8"/>
    <w:rsid w:val="009C78E8"/>
    <w:rsid w:val="009D0EE7"/>
    <w:rsid w:val="009D249A"/>
    <w:rsid w:val="009D3CE8"/>
    <w:rsid w:val="009D7AB8"/>
    <w:rsid w:val="009E23EE"/>
    <w:rsid w:val="009E2AA9"/>
    <w:rsid w:val="009E4D96"/>
    <w:rsid w:val="009F0245"/>
    <w:rsid w:val="009F0F2F"/>
    <w:rsid w:val="00A01264"/>
    <w:rsid w:val="00A0142A"/>
    <w:rsid w:val="00A01BD6"/>
    <w:rsid w:val="00A036FF"/>
    <w:rsid w:val="00A1342C"/>
    <w:rsid w:val="00A16FEC"/>
    <w:rsid w:val="00A17040"/>
    <w:rsid w:val="00A21091"/>
    <w:rsid w:val="00A22A70"/>
    <w:rsid w:val="00A27E0D"/>
    <w:rsid w:val="00A35904"/>
    <w:rsid w:val="00A35A9D"/>
    <w:rsid w:val="00A43536"/>
    <w:rsid w:val="00A4553A"/>
    <w:rsid w:val="00A51393"/>
    <w:rsid w:val="00A51C7E"/>
    <w:rsid w:val="00A634A4"/>
    <w:rsid w:val="00A64D53"/>
    <w:rsid w:val="00A662F3"/>
    <w:rsid w:val="00A77ECC"/>
    <w:rsid w:val="00A855DF"/>
    <w:rsid w:val="00A86A49"/>
    <w:rsid w:val="00A86DA8"/>
    <w:rsid w:val="00A901FB"/>
    <w:rsid w:val="00A911D3"/>
    <w:rsid w:val="00A9132D"/>
    <w:rsid w:val="00A91DB5"/>
    <w:rsid w:val="00AA5B12"/>
    <w:rsid w:val="00AB0373"/>
    <w:rsid w:val="00AB085E"/>
    <w:rsid w:val="00AB230A"/>
    <w:rsid w:val="00AB30F5"/>
    <w:rsid w:val="00AB5FD9"/>
    <w:rsid w:val="00AC12DD"/>
    <w:rsid w:val="00AC1B23"/>
    <w:rsid w:val="00AC2326"/>
    <w:rsid w:val="00AC399C"/>
    <w:rsid w:val="00AC4E51"/>
    <w:rsid w:val="00AD0A88"/>
    <w:rsid w:val="00AD0CEA"/>
    <w:rsid w:val="00AD114B"/>
    <w:rsid w:val="00AD18BD"/>
    <w:rsid w:val="00AD7DE6"/>
    <w:rsid w:val="00AE0CFF"/>
    <w:rsid w:val="00AE16A9"/>
    <w:rsid w:val="00AE25B4"/>
    <w:rsid w:val="00AE4A87"/>
    <w:rsid w:val="00AE79DD"/>
    <w:rsid w:val="00AF1648"/>
    <w:rsid w:val="00AF1F43"/>
    <w:rsid w:val="00AF253B"/>
    <w:rsid w:val="00AF52E5"/>
    <w:rsid w:val="00B010FF"/>
    <w:rsid w:val="00B02B85"/>
    <w:rsid w:val="00B032AE"/>
    <w:rsid w:val="00B052E7"/>
    <w:rsid w:val="00B06E37"/>
    <w:rsid w:val="00B11504"/>
    <w:rsid w:val="00B12946"/>
    <w:rsid w:val="00B13A3B"/>
    <w:rsid w:val="00B14852"/>
    <w:rsid w:val="00B14AB8"/>
    <w:rsid w:val="00B14AC6"/>
    <w:rsid w:val="00B16438"/>
    <w:rsid w:val="00B178EE"/>
    <w:rsid w:val="00B21BEE"/>
    <w:rsid w:val="00B2286C"/>
    <w:rsid w:val="00B25DC3"/>
    <w:rsid w:val="00B266EA"/>
    <w:rsid w:val="00B27F0F"/>
    <w:rsid w:val="00B36B74"/>
    <w:rsid w:val="00B51994"/>
    <w:rsid w:val="00B60F4C"/>
    <w:rsid w:val="00B63293"/>
    <w:rsid w:val="00B65BDE"/>
    <w:rsid w:val="00B66BDE"/>
    <w:rsid w:val="00B6749E"/>
    <w:rsid w:val="00B7026F"/>
    <w:rsid w:val="00B71B6F"/>
    <w:rsid w:val="00B769D1"/>
    <w:rsid w:val="00B775EF"/>
    <w:rsid w:val="00B80751"/>
    <w:rsid w:val="00B87C6F"/>
    <w:rsid w:val="00B91162"/>
    <w:rsid w:val="00B915D1"/>
    <w:rsid w:val="00B92957"/>
    <w:rsid w:val="00B9617D"/>
    <w:rsid w:val="00BA0482"/>
    <w:rsid w:val="00BA16DE"/>
    <w:rsid w:val="00BA3B4D"/>
    <w:rsid w:val="00BA4696"/>
    <w:rsid w:val="00BA5EF9"/>
    <w:rsid w:val="00BA7CA1"/>
    <w:rsid w:val="00BB6C71"/>
    <w:rsid w:val="00BC0751"/>
    <w:rsid w:val="00BC4C7E"/>
    <w:rsid w:val="00BC5B69"/>
    <w:rsid w:val="00BD1679"/>
    <w:rsid w:val="00BD2E44"/>
    <w:rsid w:val="00BD35B6"/>
    <w:rsid w:val="00BD5B60"/>
    <w:rsid w:val="00BE1F73"/>
    <w:rsid w:val="00BE6AC3"/>
    <w:rsid w:val="00BE7D5C"/>
    <w:rsid w:val="00BF023A"/>
    <w:rsid w:val="00BF4F80"/>
    <w:rsid w:val="00C05B4F"/>
    <w:rsid w:val="00C06194"/>
    <w:rsid w:val="00C07E30"/>
    <w:rsid w:val="00C229C6"/>
    <w:rsid w:val="00C23098"/>
    <w:rsid w:val="00C3165A"/>
    <w:rsid w:val="00C33006"/>
    <w:rsid w:val="00C335D5"/>
    <w:rsid w:val="00C33FF5"/>
    <w:rsid w:val="00C45350"/>
    <w:rsid w:val="00C45BEA"/>
    <w:rsid w:val="00C4776D"/>
    <w:rsid w:val="00C512C0"/>
    <w:rsid w:val="00C54942"/>
    <w:rsid w:val="00C562CD"/>
    <w:rsid w:val="00C56391"/>
    <w:rsid w:val="00C6543C"/>
    <w:rsid w:val="00C66717"/>
    <w:rsid w:val="00C67FC4"/>
    <w:rsid w:val="00C726B1"/>
    <w:rsid w:val="00C7303C"/>
    <w:rsid w:val="00C74E4A"/>
    <w:rsid w:val="00C74E72"/>
    <w:rsid w:val="00C75D8B"/>
    <w:rsid w:val="00C83628"/>
    <w:rsid w:val="00C837E9"/>
    <w:rsid w:val="00C83B89"/>
    <w:rsid w:val="00C91789"/>
    <w:rsid w:val="00C920F5"/>
    <w:rsid w:val="00C93494"/>
    <w:rsid w:val="00C94C41"/>
    <w:rsid w:val="00C97D54"/>
    <w:rsid w:val="00CA0608"/>
    <w:rsid w:val="00CA265C"/>
    <w:rsid w:val="00CA63E4"/>
    <w:rsid w:val="00CA67E3"/>
    <w:rsid w:val="00CA6D75"/>
    <w:rsid w:val="00CB1ACC"/>
    <w:rsid w:val="00CB280E"/>
    <w:rsid w:val="00CB50D9"/>
    <w:rsid w:val="00CB5625"/>
    <w:rsid w:val="00CB5B21"/>
    <w:rsid w:val="00CB5C47"/>
    <w:rsid w:val="00CC0EFA"/>
    <w:rsid w:val="00CC3E0A"/>
    <w:rsid w:val="00CD2E5A"/>
    <w:rsid w:val="00CE41BA"/>
    <w:rsid w:val="00CE4903"/>
    <w:rsid w:val="00CF3505"/>
    <w:rsid w:val="00CF4AA2"/>
    <w:rsid w:val="00CF5325"/>
    <w:rsid w:val="00CF6FEC"/>
    <w:rsid w:val="00CF7007"/>
    <w:rsid w:val="00D0426A"/>
    <w:rsid w:val="00D12CB6"/>
    <w:rsid w:val="00D20491"/>
    <w:rsid w:val="00D20FF3"/>
    <w:rsid w:val="00D21D39"/>
    <w:rsid w:val="00D248BD"/>
    <w:rsid w:val="00D3724F"/>
    <w:rsid w:val="00D37313"/>
    <w:rsid w:val="00D37BF2"/>
    <w:rsid w:val="00D40067"/>
    <w:rsid w:val="00D47053"/>
    <w:rsid w:val="00D47510"/>
    <w:rsid w:val="00D562BF"/>
    <w:rsid w:val="00D56F07"/>
    <w:rsid w:val="00D70E5F"/>
    <w:rsid w:val="00D70E72"/>
    <w:rsid w:val="00D7130D"/>
    <w:rsid w:val="00D720B2"/>
    <w:rsid w:val="00D728DB"/>
    <w:rsid w:val="00D73CEC"/>
    <w:rsid w:val="00D75BB6"/>
    <w:rsid w:val="00D76A90"/>
    <w:rsid w:val="00D76F8A"/>
    <w:rsid w:val="00D81E64"/>
    <w:rsid w:val="00D85468"/>
    <w:rsid w:val="00D86937"/>
    <w:rsid w:val="00D952C3"/>
    <w:rsid w:val="00D9574A"/>
    <w:rsid w:val="00D96379"/>
    <w:rsid w:val="00DA245B"/>
    <w:rsid w:val="00DA2E19"/>
    <w:rsid w:val="00DA44B0"/>
    <w:rsid w:val="00DB2D7A"/>
    <w:rsid w:val="00DB2FCE"/>
    <w:rsid w:val="00DB4AAE"/>
    <w:rsid w:val="00DB54DE"/>
    <w:rsid w:val="00DB6DCD"/>
    <w:rsid w:val="00DB7CFD"/>
    <w:rsid w:val="00DC1F04"/>
    <w:rsid w:val="00DC2B19"/>
    <w:rsid w:val="00DC5787"/>
    <w:rsid w:val="00DD46E7"/>
    <w:rsid w:val="00DD60C2"/>
    <w:rsid w:val="00DD6EC4"/>
    <w:rsid w:val="00DD70EC"/>
    <w:rsid w:val="00DE09AB"/>
    <w:rsid w:val="00DE624C"/>
    <w:rsid w:val="00DE6F17"/>
    <w:rsid w:val="00DE6FEC"/>
    <w:rsid w:val="00DF0AA9"/>
    <w:rsid w:val="00DF4992"/>
    <w:rsid w:val="00DF59A9"/>
    <w:rsid w:val="00DF757C"/>
    <w:rsid w:val="00E05336"/>
    <w:rsid w:val="00E102FD"/>
    <w:rsid w:val="00E12EE2"/>
    <w:rsid w:val="00E13339"/>
    <w:rsid w:val="00E15CBC"/>
    <w:rsid w:val="00E162FE"/>
    <w:rsid w:val="00E1760B"/>
    <w:rsid w:val="00E25B8D"/>
    <w:rsid w:val="00E32276"/>
    <w:rsid w:val="00E355C9"/>
    <w:rsid w:val="00E43502"/>
    <w:rsid w:val="00E45B97"/>
    <w:rsid w:val="00E46AAB"/>
    <w:rsid w:val="00E501D5"/>
    <w:rsid w:val="00E56EA6"/>
    <w:rsid w:val="00E64EF8"/>
    <w:rsid w:val="00E66B80"/>
    <w:rsid w:val="00E67BEF"/>
    <w:rsid w:val="00E70785"/>
    <w:rsid w:val="00E719E3"/>
    <w:rsid w:val="00E72169"/>
    <w:rsid w:val="00E85A03"/>
    <w:rsid w:val="00E87698"/>
    <w:rsid w:val="00E94C13"/>
    <w:rsid w:val="00EA17BB"/>
    <w:rsid w:val="00EA4972"/>
    <w:rsid w:val="00EA6091"/>
    <w:rsid w:val="00EB45BC"/>
    <w:rsid w:val="00EB7EDB"/>
    <w:rsid w:val="00ED0CE7"/>
    <w:rsid w:val="00ED50F3"/>
    <w:rsid w:val="00ED654A"/>
    <w:rsid w:val="00EE120F"/>
    <w:rsid w:val="00EE28CF"/>
    <w:rsid w:val="00EE5BAC"/>
    <w:rsid w:val="00EF0036"/>
    <w:rsid w:val="00EF49AC"/>
    <w:rsid w:val="00F01FE3"/>
    <w:rsid w:val="00F02FF9"/>
    <w:rsid w:val="00F049E7"/>
    <w:rsid w:val="00F07515"/>
    <w:rsid w:val="00F114DD"/>
    <w:rsid w:val="00F161F9"/>
    <w:rsid w:val="00F16246"/>
    <w:rsid w:val="00F178A2"/>
    <w:rsid w:val="00F215B9"/>
    <w:rsid w:val="00F22CEE"/>
    <w:rsid w:val="00F24BEE"/>
    <w:rsid w:val="00F25DDE"/>
    <w:rsid w:val="00F26D9B"/>
    <w:rsid w:val="00F26F9B"/>
    <w:rsid w:val="00F30650"/>
    <w:rsid w:val="00F30760"/>
    <w:rsid w:val="00F3173E"/>
    <w:rsid w:val="00F31C88"/>
    <w:rsid w:val="00F31E5C"/>
    <w:rsid w:val="00F322C1"/>
    <w:rsid w:val="00F32C9E"/>
    <w:rsid w:val="00F32CFE"/>
    <w:rsid w:val="00F34ECC"/>
    <w:rsid w:val="00F4234C"/>
    <w:rsid w:val="00F430EF"/>
    <w:rsid w:val="00F43D2B"/>
    <w:rsid w:val="00F50828"/>
    <w:rsid w:val="00F518A9"/>
    <w:rsid w:val="00F543A1"/>
    <w:rsid w:val="00F62325"/>
    <w:rsid w:val="00F65482"/>
    <w:rsid w:val="00F66096"/>
    <w:rsid w:val="00F75D7A"/>
    <w:rsid w:val="00F81014"/>
    <w:rsid w:val="00F820E5"/>
    <w:rsid w:val="00FA0C03"/>
    <w:rsid w:val="00FA294D"/>
    <w:rsid w:val="00FA5CB8"/>
    <w:rsid w:val="00FB0A40"/>
    <w:rsid w:val="00FB10C2"/>
    <w:rsid w:val="00FB3211"/>
    <w:rsid w:val="00FB3C22"/>
    <w:rsid w:val="00FC1059"/>
    <w:rsid w:val="00FC1889"/>
    <w:rsid w:val="00FC1930"/>
    <w:rsid w:val="00FC5C5B"/>
    <w:rsid w:val="00FC6A1B"/>
    <w:rsid w:val="00FD1320"/>
    <w:rsid w:val="00FD7DCE"/>
    <w:rsid w:val="00FE42F4"/>
    <w:rsid w:val="00FE5103"/>
    <w:rsid w:val="00FE5F4F"/>
    <w:rsid w:val="00FE6AC5"/>
    <w:rsid w:val="00FF16ED"/>
    <w:rsid w:val="00FF3424"/>
    <w:rsid w:val="00FF4702"/>
    <w:rsid w:val="00FF75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23F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3FCE"/>
    <w:rPr>
      <w:rFonts w:ascii="Tahoma" w:hAnsi="Tahoma" w:cs="Tahoma"/>
      <w:sz w:val="16"/>
      <w:szCs w:val="16"/>
    </w:rPr>
  </w:style>
  <w:style w:type="paragraph" w:styleId="NormaleWeb">
    <w:name w:val="Normal (Web)"/>
    <w:basedOn w:val="Normale"/>
    <w:uiPriority w:val="99"/>
    <w:semiHidden/>
    <w:unhideWhenUsed/>
    <w:rsid w:val="00723FCE"/>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styleId="Paragrafoelenco">
    <w:name w:val="List Paragraph"/>
    <w:basedOn w:val="Normale"/>
    <w:uiPriority w:val="34"/>
    <w:qFormat/>
    <w:rsid w:val="00723FCE"/>
    <w:pPr>
      <w:ind w:left="720"/>
      <w:contextualSpacing/>
    </w:pPr>
  </w:style>
  <w:style w:type="paragraph" w:styleId="Intestazione">
    <w:name w:val="header"/>
    <w:basedOn w:val="Normale"/>
    <w:link w:val="IntestazioneCarattere"/>
    <w:uiPriority w:val="99"/>
    <w:unhideWhenUsed/>
    <w:rsid w:val="009E2A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2AA9"/>
  </w:style>
  <w:style w:type="paragraph" w:styleId="Pidipagina">
    <w:name w:val="footer"/>
    <w:basedOn w:val="Normale"/>
    <w:link w:val="PidipaginaCarattere"/>
    <w:uiPriority w:val="99"/>
    <w:unhideWhenUsed/>
    <w:rsid w:val="009E2A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2AA9"/>
  </w:style>
  <w:style w:type="paragraph" w:styleId="Corpotesto">
    <w:name w:val="Body Text"/>
    <w:basedOn w:val="Normale"/>
    <w:link w:val="CorpotestoCarattere"/>
    <w:semiHidden/>
    <w:rsid w:val="00994874"/>
    <w:pPr>
      <w:spacing w:after="0" w:line="240" w:lineRule="auto"/>
      <w:jc w:val="both"/>
    </w:pPr>
    <w:rPr>
      <w:rFonts w:ascii="Verdana" w:eastAsia="Times New Roman" w:hAnsi="Verdana" w:cs="Times New Roman"/>
      <w:sz w:val="20"/>
      <w:szCs w:val="24"/>
      <w:lang w:eastAsia="it-IT"/>
    </w:rPr>
  </w:style>
  <w:style w:type="character" w:customStyle="1" w:styleId="CorpotestoCarattere">
    <w:name w:val="Corpo testo Carattere"/>
    <w:basedOn w:val="Carpredefinitoparagrafo"/>
    <w:link w:val="Corpotesto"/>
    <w:semiHidden/>
    <w:rsid w:val="00994874"/>
    <w:rPr>
      <w:rFonts w:ascii="Verdana" w:eastAsia="Times New Roman" w:hAnsi="Verdana" w:cs="Times New Roman"/>
      <w:sz w:val="20"/>
      <w:szCs w:val="24"/>
      <w:lang w:eastAsia="it-IT"/>
    </w:rPr>
  </w:style>
  <w:style w:type="paragraph" w:customStyle="1" w:styleId="Paragrafoelenco1">
    <w:name w:val="Paragrafo elenco1"/>
    <w:basedOn w:val="Normale"/>
    <w:rsid w:val="0061766F"/>
    <w:pPr>
      <w:ind w:left="720"/>
      <w:contextualSpacing/>
    </w:pPr>
    <w:rPr>
      <w:rFonts w:ascii="Calibri" w:eastAsia="Times New Roman" w:hAnsi="Calibri" w:cs="Times New Roman"/>
    </w:rPr>
  </w:style>
  <w:style w:type="paragraph" w:styleId="Testonotaapidipagina">
    <w:name w:val="footnote text"/>
    <w:basedOn w:val="Normale"/>
    <w:link w:val="TestonotaapidipaginaCarattere"/>
    <w:uiPriority w:val="99"/>
    <w:semiHidden/>
    <w:unhideWhenUsed/>
    <w:rsid w:val="00BC075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C0751"/>
    <w:rPr>
      <w:sz w:val="20"/>
      <w:szCs w:val="20"/>
    </w:rPr>
  </w:style>
  <w:style w:type="character" w:styleId="Rimandonotaapidipagina">
    <w:name w:val="footnote reference"/>
    <w:basedOn w:val="Carpredefinitoparagrafo"/>
    <w:uiPriority w:val="99"/>
    <w:semiHidden/>
    <w:unhideWhenUsed/>
    <w:rsid w:val="00BC0751"/>
    <w:rPr>
      <w:vertAlign w:val="superscript"/>
    </w:rPr>
  </w:style>
  <w:style w:type="paragraph" w:styleId="Testonotadichiusura">
    <w:name w:val="endnote text"/>
    <w:basedOn w:val="Normale"/>
    <w:link w:val="TestonotadichiusuraCarattere"/>
    <w:uiPriority w:val="99"/>
    <w:semiHidden/>
    <w:unhideWhenUsed/>
    <w:rsid w:val="00C94C41"/>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C94C41"/>
    <w:rPr>
      <w:sz w:val="20"/>
      <w:szCs w:val="20"/>
    </w:rPr>
  </w:style>
  <w:style w:type="character" w:styleId="Rimandonotadichiusura">
    <w:name w:val="endnote reference"/>
    <w:basedOn w:val="Carpredefinitoparagrafo"/>
    <w:uiPriority w:val="99"/>
    <w:semiHidden/>
    <w:unhideWhenUsed/>
    <w:rsid w:val="00C94C41"/>
    <w:rPr>
      <w:vertAlign w:val="superscript"/>
    </w:rPr>
  </w:style>
  <w:style w:type="paragraph" w:customStyle="1" w:styleId="Default">
    <w:name w:val="Default"/>
    <w:rsid w:val="004525D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23F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3FCE"/>
    <w:rPr>
      <w:rFonts w:ascii="Tahoma" w:hAnsi="Tahoma" w:cs="Tahoma"/>
      <w:sz w:val="16"/>
      <w:szCs w:val="16"/>
    </w:rPr>
  </w:style>
  <w:style w:type="paragraph" w:styleId="NormaleWeb">
    <w:name w:val="Normal (Web)"/>
    <w:basedOn w:val="Normale"/>
    <w:uiPriority w:val="99"/>
    <w:semiHidden/>
    <w:unhideWhenUsed/>
    <w:rsid w:val="00723FCE"/>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styleId="Paragrafoelenco">
    <w:name w:val="List Paragraph"/>
    <w:basedOn w:val="Normale"/>
    <w:uiPriority w:val="34"/>
    <w:qFormat/>
    <w:rsid w:val="00723FCE"/>
    <w:pPr>
      <w:ind w:left="720"/>
      <w:contextualSpacing/>
    </w:pPr>
  </w:style>
  <w:style w:type="paragraph" w:styleId="Intestazione">
    <w:name w:val="header"/>
    <w:basedOn w:val="Normale"/>
    <w:link w:val="IntestazioneCarattere"/>
    <w:uiPriority w:val="99"/>
    <w:unhideWhenUsed/>
    <w:rsid w:val="009E2A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2AA9"/>
  </w:style>
  <w:style w:type="paragraph" w:styleId="Pidipagina">
    <w:name w:val="footer"/>
    <w:basedOn w:val="Normale"/>
    <w:link w:val="PidipaginaCarattere"/>
    <w:uiPriority w:val="99"/>
    <w:unhideWhenUsed/>
    <w:rsid w:val="009E2A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2AA9"/>
  </w:style>
  <w:style w:type="paragraph" w:styleId="Corpotesto">
    <w:name w:val="Body Text"/>
    <w:basedOn w:val="Normale"/>
    <w:link w:val="CorpotestoCarattere"/>
    <w:semiHidden/>
    <w:rsid w:val="00994874"/>
    <w:pPr>
      <w:spacing w:after="0" w:line="240" w:lineRule="auto"/>
      <w:jc w:val="both"/>
    </w:pPr>
    <w:rPr>
      <w:rFonts w:ascii="Verdana" w:eastAsia="Times New Roman" w:hAnsi="Verdana" w:cs="Times New Roman"/>
      <w:sz w:val="20"/>
      <w:szCs w:val="24"/>
      <w:lang w:eastAsia="it-IT"/>
    </w:rPr>
  </w:style>
  <w:style w:type="character" w:customStyle="1" w:styleId="CorpotestoCarattere">
    <w:name w:val="Corpo testo Carattere"/>
    <w:basedOn w:val="Carpredefinitoparagrafo"/>
    <w:link w:val="Corpotesto"/>
    <w:semiHidden/>
    <w:rsid w:val="00994874"/>
    <w:rPr>
      <w:rFonts w:ascii="Verdana" w:eastAsia="Times New Roman" w:hAnsi="Verdana" w:cs="Times New Roman"/>
      <w:sz w:val="20"/>
      <w:szCs w:val="24"/>
      <w:lang w:eastAsia="it-IT"/>
    </w:rPr>
  </w:style>
  <w:style w:type="paragraph" w:customStyle="1" w:styleId="Paragrafoelenco1">
    <w:name w:val="Paragrafo elenco1"/>
    <w:basedOn w:val="Normale"/>
    <w:rsid w:val="0061766F"/>
    <w:pPr>
      <w:ind w:left="720"/>
      <w:contextualSpacing/>
    </w:pPr>
    <w:rPr>
      <w:rFonts w:ascii="Calibri" w:eastAsia="Times New Roman" w:hAnsi="Calibri" w:cs="Times New Roman"/>
    </w:rPr>
  </w:style>
  <w:style w:type="paragraph" w:styleId="Testonotaapidipagina">
    <w:name w:val="footnote text"/>
    <w:basedOn w:val="Normale"/>
    <w:link w:val="TestonotaapidipaginaCarattere"/>
    <w:uiPriority w:val="99"/>
    <w:semiHidden/>
    <w:unhideWhenUsed/>
    <w:rsid w:val="00BC075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C0751"/>
    <w:rPr>
      <w:sz w:val="20"/>
      <w:szCs w:val="20"/>
    </w:rPr>
  </w:style>
  <w:style w:type="character" w:styleId="Rimandonotaapidipagina">
    <w:name w:val="footnote reference"/>
    <w:basedOn w:val="Carpredefinitoparagrafo"/>
    <w:uiPriority w:val="99"/>
    <w:semiHidden/>
    <w:unhideWhenUsed/>
    <w:rsid w:val="00BC0751"/>
    <w:rPr>
      <w:vertAlign w:val="superscript"/>
    </w:rPr>
  </w:style>
  <w:style w:type="paragraph" w:styleId="Testonotadichiusura">
    <w:name w:val="endnote text"/>
    <w:basedOn w:val="Normale"/>
    <w:link w:val="TestonotadichiusuraCarattere"/>
    <w:uiPriority w:val="99"/>
    <w:semiHidden/>
    <w:unhideWhenUsed/>
    <w:rsid w:val="00C94C41"/>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C94C41"/>
    <w:rPr>
      <w:sz w:val="20"/>
      <w:szCs w:val="20"/>
    </w:rPr>
  </w:style>
  <w:style w:type="character" w:styleId="Rimandonotadichiusura">
    <w:name w:val="endnote reference"/>
    <w:basedOn w:val="Carpredefinitoparagrafo"/>
    <w:uiPriority w:val="99"/>
    <w:semiHidden/>
    <w:unhideWhenUsed/>
    <w:rsid w:val="00C94C41"/>
    <w:rPr>
      <w:vertAlign w:val="superscript"/>
    </w:rPr>
  </w:style>
  <w:style w:type="paragraph" w:customStyle="1" w:styleId="Default">
    <w:name w:val="Default"/>
    <w:rsid w:val="004525D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92200">
      <w:bodyDiv w:val="1"/>
      <w:marLeft w:val="0"/>
      <w:marRight w:val="0"/>
      <w:marTop w:val="0"/>
      <w:marBottom w:val="0"/>
      <w:divBdr>
        <w:top w:val="none" w:sz="0" w:space="0" w:color="auto"/>
        <w:left w:val="none" w:sz="0" w:space="0" w:color="auto"/>
        <w:bottom w:val="none" w:sz="0" w:space="0" w:color="auto"/>
        <w:right w:val="none" w:sz="0" w:space="0" w:color="auto"/>
      </w:divBdr>
    </w:div>
    <w:div w:id="219563015">
      <w:bodyDiv w:val="1"/>
      <w:marLeft w:val="0"/>
      <w:marRight w:val="0"/>
      <w:marTop w:val="0"/>
      <w:marBottom w:val="0"/>
      <w:divBdr>
        <w:top w:val="none" w:sz="0" w:space="0" w:color="auto"/>
        <w:left w:val="none" w:sz="0" w:space="0" w:color="auto"/>
        <w:bottom w:val="none" w:sz="0" w:space="0" w:color="auto"/>
        <w:right w:val="none" w:sz="0" w:space="0" w:color="auto"/>
      </w:divBdr>
    </w:div>
    <w:div w:id="232275295">
      <w:bodyDiv w:val="1"/>
      <w:marLeft w:val="0"/>
      <w:marRight w:val="0"/>
      <w:marTop w:val="0"/>
      <w:marBottom w:val="0"/>
      <w:divBdr>
        <w:top w:val="none" w:sz="0" w:space="0" w:color="auto"/>
        <w:left w:val="none" w:sz="0" w:space="0" w:color="auto"/>
        <w:bottom w:val="none" w:sz="0" w:space="0" w:color="auto"/>
        <w:right w:val="none" w:sz="0" w:space="0" w:color="auto"/>
      </w:divBdr>
    </w:div>
    <w:div w:id="326058172">
      <w:bodyDiv w:val="1"/>
      <w:marLeft w:val="0"/>
      <w:marRight w:val="0"/>
      <w:marTop w:val="0"/>
      <w:marBottom w:val="0"/>
      <w:divBdr>
        <w:top w:val="none" w:sz="0" w:space="0" w:color="auto"/>
        <w:left w:val="none" w:sz="0" w:space="0" w:color="auto"/>
        <w:bottom w:val="none" w:sz="0" w:space="0" w:color="auto"/>
        <w:right w:val="none" w:sz="0" w:space="0" w:color="auto"/>
      </w:divBdr>
    </w:div>
    <w:div w:id="344481130">
      <w:bodyDiv w:val="1"/>
      <w:marLeft w:val="0"/>
      <w:marRight w:val="0"/>
      <w:marTop w:val="0"/>
      <w:marBottom w:val="0"/>
      <w:divBdr>
        <w:top w:val="none" w:sz="0" w:space="0" w:color="auto"/>
        <w:left w:val="none" w:sz="0" w:space="0" w:color="auto"/>
        <w:bottom w:val="none" w:sz="0" w:space="0" w:color="auto"/>
        <w:right w:val="none" w:sz="0" w:space="0" w:color="auto"/>
      </w:divBdr>
    </w:div>
    <w:div w:id="389426853">
      <w:bodyDiv w:val="1"/>
      <w:marLeft w:val="0"/>
      <w:marRight w:val="0"/>
      <w:marTop w:val="0"/>
      <w:marBottom w:val="0"/>
      <w:divBdr>
        <w:top w:val="none" w:sz="0" w:space="0" w:color="auto"/>
        <w:left w:val="none" w:sz="0" w:space="0" w:color="auto"/>
        <w:bottom w:val="none" w:sz="0" w:space="0" w:color="auto"/>
        <w:right w:val="none" w:sz="0" w:space="0" w:color="auto"/>
      </w:divBdr>
    </w:div>
    <w:div w:id="521282394">
      <w:bodyDiv w:val="1"/>
      <w:marLeft w:val="0"/>
      <w:marRight w:val="0"/>
      <w:marTop w:val="0"/>
      <w:marBottom w:val="0"/>
      <w:divBdr>
        <w:top w:val="none" w:sz="0" w:space="0" w:color="auto"/>
        <w:left w:val="none" w:sz="0" w:space="0" w:color="auto"/>
        <w:bottom w:val="none" w:sz="0" w:space="0" w:color="auto"/>
        <w:right w:val="none" w:sz="0" w:space="0" w:color="auto"/>
      </w:divBdr>
    </w:div>
    <w:div w:id="587615569">
      <w:bodyDiv w:val="1"/>
      <w:marLeft w:val="0"/>
      <w:marRight w:val="0"/>
      <w:marTop w:val="0"/>
      <w:marBottom w:val="0"/>
      <w:divBdr>
        <w:top w:val="none" w:sz="0" w:space="0" w:color="auto"/>
        <w:left w:val="none" w:sz="0" w:space="0" w:color="auto"/>
        <w:bottom w:val="none" w:sz="0" w:space="0" w:color="auto"/>
        <w:right w:val="none" w:sz="0" w:space="0" w:color="auto"/>
      </w:divBdr>
    </w:div>
    <w:div w:id="649016534">
      <w:bodyDiv w:val="1"/>
      <w:marLeft w:val="0"/>
      <w:marRight w:val="0"/>
      <w:marTop w:val="0"/>
      <w:marBottom w:val="0"/>
      <w:divBdr>
        <w:top w:val="none" w:sz="0" w:space="0" w:color="auto"/>
        <w:left w:val="none" w:sz="0" w:space="0" w:color="auto"/>
        <w:bottom w:val="none" w:sz="0" w:space="0" w:color="auto"/>
        <w:right w:val="none" w:sz="0" w:space="0" w:color="auto"/>
      </w:divBdr>
    </w:div>
    <w:div w:id="653920832">
      <w:bodyDiv w:val="1"/>
      <w:marLeft w:val="0"/>
      <w:marRight w:val="0"/>
      <w:marTop w:val="0"/>
      <w:marBottom w:val="0"/>
      <w:divBdr>
        <w:top w:val="none" w:sz="0" w:space="0" w:color="auto"/>
        <w:left w:val="none" w:sz="0" w:space="0" w:color="auto"/>
        <w:bottom w:val="none" w:sz="0" w:space="0" w:color="auto"/>
        <w:right w:val="none" w:sz="0" w:space="0" w:color="auto"/>
      </w:divBdr>
    </w:div>
    <w:div w:id="809708667">
      <w:bodyDiv w:val="1"/>
      <w:marLeft w:val="0"/>
      <w:marRight w:val="0"/>
      <w:marTop w:val="0"/>
      <w:marBottom w:val="0"/>
      <w:divBdr>
        <w:top w:val="none" w:sz="0" w:space="0" w:color="auto"/>
        <w:left w:val="none" w:sz="0" w:space="0" w:color="auto"/>
        <w:bottom w:val="none" w:sz="0" w:space="0" w:color="auto"/>
        <w:right w:val="none" w:sz="0" w:space="0" w:color="auto"/>
      </w:divBdr>
    </w:div>
    <w:div w:id="857235800">
      <w:bodyDiv w:val="1"/>
      <w:marLeft w:val="0"/>
      <w:marRight w:val="0"/>
      <w:marTop w:val="0"/>
      <w:marBottom w:val="0"/>
      <w:divBdr>
        <w:top w:val="none" w:sz="0" w:space="0" w:color="auto"/>
        <w:left w:val="none" w:sz="0" w:space="0" w:color="auto"/>
        <w:bottom w:val="none" w:sz="0" w:space="0" w:color="auto"/>
        <w:right w:val="none" w:sz="0" w:space="0" w:color="auto"/>
      </w:divBdr>
    </w:div>
    <w:div w:id="885457674">
      <w:bodyDiv w:val="1"/>
      <w:marLeft w:val="0"/>
      <w:marRight w:val="0"/>
      <w:marTop w:val="0"/>
      <w:marBottom w:val="0"/>
      <w:divBdr>
        <w:top w:val="none" w:sz="0" w:space="0" w:color="auto"/>
        <w:left w:val="none" w:sz="0" w:space="0" w:color="auto"/>
        <w:bottom w:val="none" w:sz="0" w:space="0" w:color="auto"/>
        <w:right w:val="none" w:sz="0" w:space="0" w:color="auto"/>
      </w:divBdr>
    </w:div>
    <w:div w:id="1045061098">
      <w:bodyDiv w:val="1"/>
      <w:marLeft w:val="0"/>
      <w:marRight w:val="0"/>
      <w:marTop w:val="0"/>
      <w:marBottom w:val="0"/>
      <w:divBdr>
        <w:top w:val="none" w:sz="0" w:space="0" w:color="auto"/>
        <w:left w:val="none" w:sz="0" w:space="0" w:color="auto"/>
        <w:bottom w:val="none" w:sz="0" w:space="0" w:color="auto"/>
        <w:right w:val="none" w:sz="0" w:space="0" w:color="auto"/>
      </w:divBdr>
    </w:div>
    <w:div w:id="1095589853">
      <w:bodyDiv w:val="1"/>
      <w:marLeft w:val="0"/>
      <w:marRight w:val="0"/>
      <w:marTop w:val="0"/>
      <w:marBottom w:val="0"/>
      <w:divBdr>
        <w:top w:val="none" w:sz="0" w:space="0" w:color="auto"/>
        <w:left w:val="none" w:sz="0" w:space="0" w:color="auto"/>
        <w:bottom w:val="none" w:sz="0" w:space="0" w:color="auto"/>
        <w:right w:val="none" w:sz="0" w:space="0" w:color="auto"/>
      </w:divBdr>
    </w:div>
    <w:div w:id="1098990976">
      <w:bodyDiv w:val="1"/>
      <w:marLeft w:val="0"/>
      <w:marRight w:val="0"/>
      <w:marTop w:val="0"/>
      <w:marBottom w:val="0"/>
      <w:divBdr>
        <w:top w:val="none" w:sz="0" w:space="0" w:color="auto"/>
        <w:left w:val="none" w:sz="0" w:space="0" w:color="auto"/>
        <w:bottom w:val="none" w:sz="0" w:space="0" w:color="auto"/>
        <w:right w:val="none" w:sz="0" w:space="0" w:color="auto"/>
      </w:divBdr>
    </w:div>
    <w:div w:id="1125126012">
      <w:bodyDiv w:val="1"/>
      <w:marLeft w:val="0"/>
      <w:marRight w:val="0"/>
      <w:marTop w:val="0"/>
      <w:marBottom w:val="0"/>
      <w:divBdr>
        <w:top w:val="none" w:sz="0" w:space="0" w:color="auto"/>
        <w:left w:val="none" w:sz="0" w:space="0" w:color="auto"/>
        <w:bottom w:val="none" w:sz="0" w:space="0" w:color="auto"/>
        <w:right w:val="none" w:sz="0" w:space="0" w:color="auto"/>
      </w:divBdr>
    </w:div>
    <w:div w:id="1147743710">
      <w:bodyDiv w:val="1"/>
      <w:marLeft w:val="0"/>
      <w:marRight w:val="0"/>
      <w:marTop w:val="0"/>
      <w:marBottom w:val="0"/>
      <w:divBdr>
        <w:top w:val="none" w:sz="0" w:space="0" w:color="auto"/>
        <w:left w:val="none" w:sz="0" w:space="0" w:color="auto"/>
        <w:bottom w:val="none" w:sz="0" w:space="0" w:color="auto"/>
        <w:right w:val="none" w:sz="0" w:space="0" w:color="auto"/>
      </w:divBdr>
    </w:div>
    <w:div w:id="1196650688">
      <w:bodyDiv w:val="1"/>
      <w:marLeft w:val="0"/>
      <w:marRight w:val="0"/>
      <w:marTop w:val="0"/>
      <w:marBottom w:val="0"/>
      <w:divBdr>
        <w:top w:val="none" w:sz="0" w:space="0" w:color="auto"/>
        <w:left w:val="none" w:sz="0" w:space="0" w:color="auto"/>
        <w:bottom w:val="none" w:sz="0" w:space="0" w:color="auto"/>
        <w:right w:val="none" w:sz="0" w:space="0" w:color="auto"/>
      </w:divBdr>
    </w:div>
    <w:div w:id="1208298948">
      <w:bodyDiv w:val="1"/>
      <w:marLeft w:val="0"/>
      <w:marRight w:val="0"/>
      <w:marTop w:val="0"/>
      <w:marBottom w:val="0"/>
      <w:divBdr>
        <w:top w:val="none" w:sz="0" w:space="0" w:color="auto"/>
        <w:left w:val="none" w:sz="0" w:space="0" w:color="auto"/>
        <w:bottom w:val="none" w:sz="0" w:space="0" w:color="auto"/>
        <w:right w:val="none" w:sz="0" w:space="0" w:color="auto"/>
      </w:divBdr>
    </w:div>
    <w:div w:id="1232353263">
      <w:bodyDiv w:val="1"/>
      <w:marLeft w:val="0"/>
      <w:marRight w:val="0"/>
      <w:marTop w:val="0"/>
      <w:marBottom w:val="0"/>
      <w:divBdr>
        <w:top w:val="none" w:sz="0" w:space="0" w:color="auto"/>
        <w:left w:val="none" w:sz="0" w:space="0" w:color="auto"/>
        <w:bottom w:val="none" w:sz="0" w:space="0" w:color="auto"/>
        <w:right w:val="none" w:sz="0" w:space="0" w:color="auto"/>
      </w:divBdr>
    </w:div>
    <w:div w:id="1285498324">
      <w:bodyDiv w:val="1"/>
      <w:marLeft w:val="0"/>
      <w:marRight w:val="0"/>
      <w:marTop w:val="0"/>
      <w:marBottom w:val="0"/>
      <w:divBdr>
        <w:top w:val="none" w:sz="0" w:space="0" w:color="auto"/>
        <w:left w:val="none" w:sz="0" w:space="0" w:color="auto"/>
        <w:bottom w:val="none" w:sz="0" w:space="0" w:color="auto"/>
        <w:right w:val="none" w:sz="0" w:space="0" w:color="auto"/>
      </w:divBdr>
    </w:div>
    <w:div w:id="1288127185">
      <w:bodyDiv w:val="1"/>
      <w:marLeft w:val="0"/>
      <w:marRight w:val="0"/>
      <w:marTop w:val="0"/>
      <w:marBottom w:val="0"/>
      <w:divBdr>
        <w:top w:val="none" w:sz="0" w:space="0" w:color="auto"/>
        <w:left w:val="none" w:sz="0" w:space="0" w:color="auto"/>
        <w:bottom w:val="none" w:sz="0" w:space="0" w:color="auto"/>
        <w:right w:val="none" w:sz="0" w:space="0" w:color="auto"/>
      </w:divBdr>
    </w:div>
    <w:div w:id="1300068817">
      <w:bodyDiv w:val="1"/>
      <w:marLeft w:val="0"/>
      <w:marRight w:val="0"/>
      <w:marTop w:val="0"/>
      <w:marBottom w:val="0"/>
      <w:divBdr>
        <w:top w:val="none" w:sz="0" w:space="0" w:color="auto"/>
        <w:left w:val="none" w:sz="0" w:space="0" w:color="auto"/>
        <w:bottom w:val="none" w:sz="0" w:space="0" w:color="auto"/>
        <w:right w:val="none" w:sz="0" w:space="0" w:color="auto"/>
      </w:divBdr>
    </w:div>
    <w:div w:id="1360156707">
      <w:bodyDiv w:val="1"/>
      <w:marLeft w:val="0"/>
      <w:marRight w:val="0"/>
      <w:marTop w:val="0"/>
      <w:marBottom w:val="0"/>
      <w:divBdr>
        <w:top w:val="none" w:sz="0" w:space="0" w:color="auto"/>
        <w:left w:val="none" w:sz="0" w:space="0" w:color="auto"/>
        <w:bottom w:val="none" w:sz="0" w:space="0" w:color="auto"/>
        <w:right w:val="none" w:sz="0" w:space="0" w:color="auto"/>
      </w:divBdr>
    </w:div>
    <w:div w:id="1418937094">
      <w:bodyDiv w:val="1"/>
      <w:marLeft w:val="0"/>
      <w:marRight w:val="0"/>
      <w:marTop w:val="0"/>
      <w:marBottom w:val="0"/>
      <w:divBdr>
        <w:top w:val="none" w:sz="0" w:space="0" w:color="auto"/>
        <w:left w:val="none" w:sz="0" w:space="0" w:color="auto"/>
        <w:bottom w:val="none" w:sz="0" w:space="0" w:color="auto"/>
        <w:right w:val="none" w:sz="0" w:space="0" w:color="auto"/>
      </w:divBdr>
    </w:div>
    <w:div w:id="1437946046">
      <w:bodyDiv w:val="1"/>
      <w:marLeft w:val="0"/>
      <w:marRight w:val="0"/>
      <w:marTop w:val="0"/>
      <w:marBottom w:val="0"/>
      <w:divBdr>
        <w:top w:val="none" w:sz="0" w:space="0" w:color="auto"/>
        <w:left w:val="none" w:sz="0" w:space="0" w:color="auto"/>
        <w:bottom w:val="none" w:sz="0" w:space="0" w:color="auto"/>
        <w:right w:val="none" w:sz="0" w:space="0" w:color="auto"/>
      </w:divBdr>
    </w:div>
    <w:div w:id="1552841397">
      <w:bodyDiv w:val="1"/>
      <w:marLeft w:val="0"/>
      <w:marRight w:val="0"/>
      <w:marTop w:val="0"/>
      <w:marBottom w:val="0"/>
      <w:divBdr>
        <w:top w:val="none" w:sz="0" w:space="0" w:color="auto"/>
        <w:left w:val="none" w:sz="0" w:space="0" w:color="auto"/>
        <w:bottom w:val="none" w:sz="0" w:space="0" w:color="auto"/>
        <w:right w:val="none" w:sz="0" w:space="0" w:color="auto"/>
      </w:divBdr>
    </w:div>
    <w:div w:id="1564682433">
      <w:bodyDiv w:val="1"/>
      <w:marLeft w:val="0"/>
      <w:marRight w:val="0"/>
      <w:marTop w:val="0"/>
      <w:marBottom w:val="0"/>
      <w:divBdr>
        <w:top w:val="none" w:sz="0" w:space="0" w:color="auto"/>
        <w:left w:val="none" w:sz="0" w:space="0" w:color="auto"/>
        <w:bottom w:val="none" w:sz="0" w:space="0" w:color="auto"/>
        <w:right w:val="none" w:sz="0" w:space="0" w:color="auto"/>
      </w:divBdr>
    </w:div>
    <w:div w:id="1592540906">
      <w:bodyDiv w:val="1"/>
      <w:marLeft w:val="0"/>
      <w:marRight w:val="0"/>
      <w:marTop w:val="0"/>
      <w:marBottom w:val="0"/>
      <w:divBdr>
        <w:top w:val="none" w:sz="0" w:space="0" w:color="auto"/>
        <w:left w:val="none" w:sz="0" w:space="0" w:color="auto"/>
        <w:bottom w:val="none" w:sz="0" w:space="0" w:color="auto"/>
        <w:right w:val="none" w:sz="0" w:space="0" w:color="auto"/>
      </w:divBdr>
    </w:div>
    <w:div w:id="1609577228">
      <w:bodyDiv w:val="1"/>
      <w:marLeft w:val="0"/>
      <w:marRight w:val="0"/>
      <w:marTop w:val="0"/>
      <w:marBottom w:val="0"/>
      <w:divBdr>
        <w:top w:val="none" w:sz="0" w:space="0" w:color="auto"/>
        <w:left w:val="none" w:sz="0" w:space="0" w:color="auto"/>
        <w:bottom w:val="none" w:sz="0" w:space="0" w:color="auto"/>
        <w:right w:val="none" w:sz="0" w:space="0" w:color="auto"/>
      </w:divBdr>
    </w:div>
    <w:div w:id="1642274415">
      <w:bodyDiv w:val="1"/>
      <w:marLeft w:val="0"/>
      <w:marRight w:val="0"/>
      <w:marTop w:val="0"/>
      <w:marBottom w:val="0"/>
      <w:divBdr>
        <w:top w:val="none" w:sz="0" w:space="0" w:color="auto"/>
        <w:left w:val="none" w:sz="0" w:space="0" w:color="auto"/>
        <w:bottom w:val="none" w:sz="0" w:space="0" w:color="auto"/>
        <w:right w:val="none" w:sz="0" w:space="0" w:color="auto"/>
      </w:divBdr>
    </w:div>
    <w:div w:id="1695691154">
      <w:bodyDiv w:val="1"/>
      <w:marLeft w:val="0"/>
      <w:marRight w:val="0"/>
      <w:marTop w:val="0"/>
      <w:marBottom w:val="0"/>
      <w:divBdr>
        <w:top w:val="none" w:sz="0" w:space="0" w:color="auto"/>
        <w:left w:val="none" w:sz="0" w:space="0" w:color="auto"/>
        <w:bottom w:val="none" w:sz="0" w:space="0" w:color="auto"/>
        <w:right w:val="none" w:sz="0" w:space="0" w:color="auto"/>
      </w:divBdr>
    </w:div>
    <w:div w:id="1922909711">
      <w:bodyDiv w:val="1"/>
      <w:marLeft w:val="0"/>
      <w:marRight w:val="0"/>
      <w:marTop w:val="0"/>
      <w:marBottom w:val="0"/>
      <w:divBdr>
        <w:top w:val="none" w:sz="0" w:space="0" w:color="auto"/>
        <w:left w:val="none" w:sz="0" w:space="0" w:color="auto"/>
        <w:bottom w:val="none" w:sz="0" w:space="0" w:color="auto"/>
        <w:right w:val="none" w:sz="0" w:space="0" w:color="auto"/>
      </w:divBdr>
    </w:div>
    <w:div w:id="1936328034">
      <w:bodyDiv w:val="1"/>
      <w:marLeft w:val="0"/>
      <w:marRight w:val="0"/>
      <w:marTop w:val="0"/>
      <w:marBottom w:val="0"/>
      <w:divBdr>
        <w:top w:val="none" w:sz="0" w:space="0" w:color="auto"/>
        <w:left w:val="none" w:sz="0" w:space="0" w:color="auto"/>
        <w:bottom w:val="none" w:sz="0" w:space="0" w:color="auto"/>
        <w:right w:val="none" w:sz="0" w:space="0" w:color="auto"/>
      </w:divBdr>
    </w:div>
    <w:div w:id="2022393443">
      <w:bodyDiv w:val="1"/>
      <w:marLeft w:val="0"/>
      <w:marRight w:val="0"/>
      <w:marTop w:val="0"/>
      <w:marBottom w:val="0"/>
      <w:divBdr>
        <w:top w:val="none" w:sz="0" w:space="0" w:color="auto"/>
        <w:left w:val="none" w:sz="0" w:space="0" w:color="auto"/>
        <w:bottom w:val="none" w:sz="0" w:space="0" w:color="auto"/>
        <w:right w:val="none" w:sz="0" w:space="0" w:color="auto"/>
      </w:divBdr>
    </w:div>
    <w:div w:id="2035616705">
      <w:bodyDiv w:val="1"/>
      <w:marLeft w:val="0"/>
      <w:marRight w:val="0"/>
      <w:marTop w:val="0"/>
      <w:marBottom w:val="0"/>
      <w:divBdr>
        <w:top w:val="none" w:sz="0" w:space="0" w:color="auto"/>
        <w:left w:val="none" w:sz="0" w:space="0" w:color="auto"/>
        <w:bottom w:val="none" w:sz="0" w:space="0" w:color="auto"/>
        <w:right w:val="none" w:sz="0" w:space="0" w:color="auto"/>
      </w:divBdr>
    </w:div>
    <w:div w:id="2038190715">
      <w:bodyDiv w:val="1"/>
      <w:marLeft w:val="0"/>
      <w:marRight w:val="0"/>
      <w:marTop w:val="0"/>
      <w:marBottom w:val="0"/>
      <w:divBdr>
        <w:top w:val="none" w:sz="0" w:space="0" w:color="auto"/>
        <w:left w:val="none" w:sz="0" w:space="0" w:color="auto"/>
        <w:bottom w:val="none" w:sz="0" w:space="0" w:color="auto"/>
        <w:right w:val="none" w:sz="0" w:space="0" w:color="auto"/>
      </w:divBdr>
    </w:div>
    <w:div w:id="2089958347">
      <w:bodyDiv w:val="1"/>
      <w:marLeft w:val="0"/>
      <w:marRight w:val="0"/>
      <w:marTop w:val="0"/>
      <w:marBottom w:val="0"/>
      <w:divBdr>
        <w:top w:val="none" w:sz="0" w:space="0" w:color="auto"/>
        <w:left w:val="none" w:sz="0" w:space="0" w:color="auto"/>
        <w:bottom w:val="none" w:sz="0" w:space="0" w:color="auto"/>
        <w:right w:val="none" w:sz="0" w:space="0" w:color="auto"/>
      </w:divBdr>
    </w:div>
    <w:div w:id="212927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nas1\confcom\comune\studi\QPROCOM\MIC\Bollettini%20MIC\2017-03\Bollettino%20MIC%202017-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0"/>
          <c:order val="0"/>
          <c:tx>
            <c:strRef>
              <c:f>'Figura 1'!$B$1</c:f>
              <c:strCache>
                <c:ptCount val="1"/>
                <c:pt idx="0">
                  <c:v>MIC-DISOCC.</c:v>
                </c:pt>
              </c:strCache>
            </c:strRef>
          </c:tx>
          <c:cat>
            <c:strRef>
              <c:f>'Figura 1'!$A$2:$A$122</c:f>
              <c:strCache>
                <c:ptCount val="121"/>
                <c:pt idx="0">
                  <c:v>2007-1</c:v>
                </c:pt>
                <c:pt idx="12">
                  <c:v>2008-1</c:v>
                </c:pt>
                <c:pt idx="24">
                  <c:v>2009-1</c:v>
                </c:pt>
                <c:pt idx="36">
                  <c:v>2010-1</c:v>
                </c:pt>
                <c:pt idx="48">
                  <c:v>2011-1</c:v>
                </c:pt>
                <c:pt idx="60">
                  <c:v>2012-1</c:v>
                </c:pt>
                <c:pt idx="72">
                  <c:v>2013-1</c:v>
                </c:pt>
                <c:pt idx="84">
                  <c:v>2014-1</c:v>
                </c:pt>
                <c:pt idx="96">
                  <c:v>2015-1</c:v>
                </c:pt>
                <c:pt idx="108">
                  <c:v>2016-1</c:v>
                </c:pt>
                <c:pt idx="120">
                  <c:v>2017-1</c:v>
                </c:pt>
              </c:strCache>
            </c:strRef>
          </c:cat>
          <c:val>
            <c:numRef>
              <c:f>'Figura 1'!$B$2:$B$122</c:f>
              <c:numCache>
                <c:formatCode>0.00</c:formatCode>
                <c:ptCount val="121"/>
                <c:pt idx="0">
                  <c:v>9.9414861755232256</c:v>
                </c:pt>
                <c:pt idx="1">
                  <c:v>9.6611628620351357</c:v>
                </c:pt>
                <c:pt idx="2">
                  <c:v>9.5807340641272898</c:v>
                </c:pt>
                <c:pt idx="3">
                  <c:v>9.3359420940327649</c:v>
                </c:pt>
                <c:pt idx="4">
                  <c:v>9.7749984098740548</c:v>
                </c:pt>
                <c:pt idx="5">
                  <c:v>9.7564572566862999</c:v>
                </c:pt>
                <c:pt idx="6">
                  <c:v>10.255958020806618</c:v>
                </c:pt>
                <c:pt idx="7">
                  <c:v>10.100812406044946</c:v>
                </c:pt>
                <c:pt idx="8">
                  <c:v>10.000377788702201</c:v>
                </c:pt>
                <c:pt idx="9">
                  <c:v>10.112555850887338</c:v>
                </c:pt>
                <c:pt idx="10">
                  <c:v>10.196310487373708</c:v>
                </c:pt>
                <c:pt idx="11">
                  <c:v>10.592239475576692</c:v>
                </c:pt>
                <c:pt idx="12">
                  <c:v>10.588325353995488</c:v>
                </c:pt>
                <c:pt idx="13">
                  <c:v>10.57678293955329</c:v>
                </c:pt>
                <c:pt idx="14">
                  <c:v>10.328402604405877</c:v>
                </c:pt>
                <c:pt idx="15">
                  <c:v>10.853879893469855</c:v>
                </c:pt>
                <c:pt idx="16">
                  <c:v>10.838174734309245</c:v>
                </c:pt>
                <c:pt idx="17">
                  <c:v>11.064927020023346</c:v>
                </c:pt>
                <c:pt idx="18">
                  <c:v>10.793152500878634</c:v>
                </c:pt>
                <c:pt idx="19">
                  <c:v>11.018256734342172</c:v>
                </c:pt>
                <c:pt idx="20">
                  <c:v>11.048666878851494</c:v>
                </c:pt>
                <c:pt idx="21">
                  <c:v>11.26279892021229</c:v>
                </c:pt>
                <c:pt idx="22">
                  <c:v>11.398553171288127</c:v>
                </c:pt>
                <c:pt idx="23">
                  <c:v>11.351019932173342</c:v>
                </c:pt>
                <c:pt idx="24">
                  <c:v>12.009414319089439</c:v>
                </c:pt>
                <c:pt idx="25">
                  <c:v>12.238270637426226</c:v>
                </c:pt>
                <c:pt idx="26">
                  <c:v>12.803033972264368</c:v>
                </c:pt>
                <c:pt idx="27">
                  <c:v>12.894559158179316</c:v>
                </c:pt>
                <c:pt idx="28">
                  <c:v>12.956671046769671</c:v>
                </c:pt>
                <c:pt idx="29">
                  <c:v>13.440852746943447</c:v>
                </c:pt>
                <c:pt idx="30">
                  <c:v>13.735337788481008</c:v>
                </c:pt>
                <c:pt idx="31">
                  <c:v>13.911912069282273</c:v>
                </c:pt>
                <c:pt idx="32">
                  <c:v>14.387111891000327</c:v>
                </c:pt>
                <c:pt idx="33">
                  <c:v>14.391842261541894</c:v>
                </c:pt>
                <c:pt idx="34">
                  <c:v>14.3953656095066</c:v>
                </c:pt>
                <c:pt idx="35">
                  <c:v>14.735700733432489</c:v>
                </c:pt>
                <c:pt idx="36">
                  <c:v>14.876790122669602</c:v>
                </c:pt>
                <c:pt idx="37">
                  <c:v>14.927032014592134</c:v>
                </c:pt>
                <c:pt idx="38">
                  <c:v>14.939995124233304</c:v>
                </c:pt>
                <c:pt idx="39">
                  <c:v>14.947783530621066</c:v>
                </c:pt>
                <c:pt idx="40">
                  <c:v>14.854834412833746</c:v>
                </c:pt>
                <c:pt idx="41">
                  <c:v>14.588003552205681</c:v>
                </c:pt>
                <c:pt idx="42">
                  <c:v>14.473125007006445</c:v>
                </c:pt>
                <c:pt idx="43">
                  <c:v>14.316607610060732</c:v>
                </c:pt>
                <c:pt idx="44">
                  <c:v>14.234574024714158</c:v>
                </c:pt>
                <c:pt idx="45">
                  <c:v>14.58410986124546</c:v>
                </c:pt>
                <c:pt idx="46">
                  <c:v>14.298311418585987</c:v>
                </c:pt>
                <c:pt idx="47">
                  <c:v>14.155783540245377</c:v>
                </c:pt>
                <c:pt idx="48">
                  <c:v>14.035538487631797</c:v>
                </c:pt>
                <c:pt idx="49">
                  <c:v>13.99133431747395</c:v>
                </c:pt>
                <c:pt idx="50">
                  <c:v>14.039736836505039</c:v>
                </c:pt>
                <c:pt idx="51">
                  <c:v>13.970093928532547</c:v>
                </c:pt>
                <c:pt idx="52">
                  <c:v>14.220648554696522</c:v>
                </c:pt>
                <c:pt idx="53">
                  <c:v>14.180421823154406</c:v>
                </c:pt>
                <c:pt idx="54">
                  <c:v>14.312963298770729</c:v>
                </c:pt>
                <c:pt idx="55">
                  <c:v>14.514020843847042</c:v>
                </c:pt>
                <c:pt idx="56">
                  <c:v>15.06496410432031</c:v>
                </c:pt>
                <c:pt idx="57">
                  <c:v>14.922029795472087</c:v>
                </c:pt>
                <c:pt idx="58">
                  <c:v>15.719864143203088</c:v>
                </c:pt>
                <c:pt idx="59">
                  <c:v>16.279098627133301</c:v>
                </c:pt>
                <c:pt idx="60">
                  <c:v>16.350327656421744</c:v>
                </c:pt>
                <c:pt idx="61">
                  <c:v>16.99521594027636</c:v>
                </c:pt>
                <c:pt idx="62">
                  <c:v>17.621610003834363</c:v>
                </c:pt>
                <c:pt idx="63">
                  <c:v>17.67187203996086</c:v>
                </c:pt>
                <c:pt idx="64">
                  <c:v>17.531102759773802</c:v>
                </c:pt>
                <c:pt idx="65">
                  <c:v>17.914290760794671</c:v>
                </c:pt>
                <c:pt idx="66">
                  <c:v>17.862858204592058</c:v>
                </c:pt>
                <c:pt idx="67">
                  <c:v>17.845870125182625</c:v>
                </c:pt>
                <c:pt idx="68">
                  <c:v>18.112046794528439</c:v>
                </c:pt>
                <c:pt idx="69">
                  <c:v>18.698224338619969</c:v>
                </c:pt>
                <c:pt idx="70">
                  <c:v>18.699324131997038</c:v>
                </c:pt>
                <c:pt idx="71">
                  <c:v>18.875355760688098</c:v>
                </c:pt>
                <c:pt idx="72">
                  <c:v>19.315240129270773</c:v>
                </c:pt>
                <c:pt idx="73">
                  <c:v>19.339632286514583</c:v>
                </c:pt>
                <c:pt idx="74">
                  <c:v>19.380669869892376</c:v>
                </c:pt>
                <c:pt idx="75">
                  <c:v>19.701885078365944</c:v>
                </c:pt>
                <c:pt idx="76">
                  <c:v>19.832399847436179</c:v>
                </c:pt>
                <c:pt idx="77">
                  <c:v>20.072901893612677</c:v>
                </c:pt>
                <c:pt idx="78">
                  <c:v>20.199900865233108</c:v>
                </c:pt>
                <c:pt idx="79">
                  <c:v>20.590251963123553</c:v>
                </c:pt>
                <c:pt idx="80">
                  <c:v>20.654929893893062</c:v>
                </c:pt>
                <c:pt idx="81">
                  <c:v>20.706485946261399</c:v>
                </c:pt>
                <c:pt idx="82">
                  <c:v>20.779464438999483</c:v>
                </c:pt>
                <c:pt idx="83">
                  <c:v>20.846290214718074</c:v>
                </c:pt>
                <c:pt idx="84">
                  <c:v>21.198426473073148</c:v>
                </c:pt>
                <c:pt idx="85">
                  <c:v>21.287934109116648</c:v>
                </c:pt>
                <c:pt idx="86">
                  <c:v>20.99380503799842</c:v>
                </c:pt>
                <c:pt idx="87">
                  <c:v>20.833721078363752</c:v>
                </c:pt>
                <c:pt idx="88">
                  <c:v>20.724893256555667</c:v>
                </c:pt>
                <c:pt idx="89">
                  <c:v>20.140013607018858</c:v>
                </c:pt>
                <c:pt idx="90">
                  <c:v>20.706168416028504</c:v>
                </c:pt>
                <c:pt idx="91">
                  <c:v>20.498700367355909</c:v>
                </c:pt>
                <c:pt idx="92">
                  <c:v>21.074557021481116</c:v>
                </c:pt>
                <c:pt idx="93">
                  <c:v>21.152795136244666</c:v>
                </c:pt>
                <c:pt idx="94">
                  <c:v>21.339248469823723</c:v>
                </c:pt>
                <c:pt idx="95">
                  <c:v>20.3220501834776</c:v>
                </c:pt>
                <c:pt idx="96">
                  <c:v>20.240529481619184</c:v>
                </c:pt>
                <c:pt idx="97">
                  <c:v>20.213688068851827</c:v>
                </c:pt>
                <c:pt idx="98">
                  <c:v>20.4538060230729</c:v>
                </c:pt>
                <c:pt idx="99">
                  <c:v>20.033266098405548</c:v>
                </c:pt>
                <c:pt idx="100">
                  <c:v>20.262420258819613</c:v>
                </c:pt>
                <c:pt idx="101">
                  <c:v>20.294139107981998</c:v>
                </c:pt>
                <c:pt idx="102">
                  <c:v>19.639403252752118</c:v>
                </c:pt>
                <c:pt idx="103">
                  <c:v>19.341091615744926</c:v>
                </c:pt>
                <c:pt idx="104">
                  <c:v>19.226134050035977</c:v>
                </c:pt>
                <c:pt idx="105">
                  <c:v>19.311941074839716</c:v>
                </c:pt>
                <c:pt idx="106">
                  <c:v>19.141661196389546</c:v>
                </c:pt>
                <c:pt idx="107">
                  <c:v>19.204557044682712</c:v>
                </c:pt>
                <c:pt idx="108">
                  <c:v>19.139255962348578</c:v>
                </c:pt>
                <c:pt idx="109">
                  <c:v>19.111147903205975</c:v>
                </c:pt>
                <c:pt idx="110">
                  <c:v>18.778093658816591</c:v>
                </c:pt>
                <c:pt idx="111">
                  <c:v>18.836316517502699</c:v>
                </c:pt>
                <c:pt idx="112">
                  <c:v>18.680482773976625</c:v>
                </c:pt>
                <c:pt idx="113">
                  <c:v>18.715501152517046</c:v>
                </c:pt>
                <c:pt idx="114">
                  <c:v>18.52952418514213</c:v>
                </c:pt>
                <c:pt idx="115">
                  <c:v>18.48140403906276</c:v>
                </c:pt>
                <c:pt idx="116">
                  <c:v>18.68349594985396</c:v>
                </c:pt>
                <c:pt idx="117">
                  <c:v>18.553046448343139</c:v>
                </c:pt>
                <c:pt idx="118">
                  <c:v>18.734429273800156</c:v>
                </c:pt>
                <c:pt idx="119">
                  <c:v>18.707645734054346</c:v>
                </c:pt>
                <c:pt idx="120">
                  <c:v>18.687011360593452</c:v>
                </c:pt>
              </c:numCache>
            </c:numRef>
          </c:val>
        </c:ser>
        <c:ser>
          <c:idx val="1"/>
          <c:order val="1"/>
          <c:tx>
            <c:strRef>
              <c:f>'Figura 1'!$C$1</c:f>
              <c:strCache>
                <c:ptCount val="1"/>
                <c:pt idx="0">
                  <c:v>MIC-INFL. AF</c:v>
                </c:pt>
              </c:strCache>
            </c:strRef>
          </c:tx>
          <c:cat>
            <c:strRef>
              <c:f>'Figura 1'!$A$2:$A$122</c:f>
              <c:strCache>
                <c:ptCount val="121"/>
                <c:pt idx="0">
                  <c:v>2007-1</c:v>
                </c:pt>
                <c:pt idx="12">
                  <c:v>2008-1</c:v>
                </c:pt>
                <c:pt idx="24">
                  <c:v>2009-1</c:v>
                </c:pt>
                <c:pt idx="36">
                  <c:v>2010-1</c:v>
                </c:pt>
                <c:pt idx="48">
                  <c:v>2011-1</c:v>
                </c:pt>
                <c:pt idx="60">
                  <c:v>2012-1</c:v>
                </c:pt>
                <c:pt idx="72">
                  <c:v>2013-1</c:v>
                </c:pt>
                <c:pt idx="84">
                  <c:v>2014-1</c:v>
                </c:pt>
                <c:pt idx="96">
                  <c:v>2015-1</c:v>
                </c:pt>
                <c:pt idx="108">
                  <c:v>2016-1</c:v>
                </c:pt>
                <c:pt idx="120">
                  <c:v>2017-1</c:v>
                </c:pt>
              </c:strCache>
            </c:strRef>
          </c:cat>
          <c:val>
            <c:numRef>
              <c:f>'Figura 1'!$C$2:$C$122</c:f>
              <c:numCache>
                <c:formatCode>0.00</c:formatCode>
                <c:ptCount val="121"/>
                <c:pt idx="0">
                  <c:v>1.7647199999999998</c:v>
                </c:pt>
                <c:pt idx="1">
                  <c:v>1.6176600000000001</c:v>
                </c:pt>
                <c:pt idx="2">
                  <c:v>1.7647199999999998</c:v>
                </c:pt>
                <c:pt idx="3">
                  <c:v>1.7647199999999998</c:v>
                </c:pt>
                <c:pt idx="4">
                  <c:v>1.91178</c:v>
                </c:pt>
                <c:pt idx="5">
                  <c:v>2.0588399999999996</c:v>
                </c:pt>
                <c:pt idx="6">
                  <c:v>1.8382499999999999</c:v>
                </c:pt>
                <c:pt idx="7">
                  <c:v>1.7647199999999998</c:v>
                </c:pt>
                <c:pt idx="8">
                  <c:v>2.1323699999999999</c:v>
                </c:pt>
                <c:pt idx="9">
                  <c:v>2.57355</c:v>
                </c:pt>
                <c:pt idx="10">
                  <c:v>2.9411999999999998</c:v>
                </c:pt>
                <c:pt idx="11">
                  <c:v>3.2353200000000002</c:v>
                </c:pt>
                <c:pt idx="12">
                  <c:v>3.60297</c:v>
                </c:pt>
                <c:pt idx="13">
                  <c:v>3.6764999999999999</c:v>
                </c:pt>
                <c:pt idx="14">
                  <c:v>3.8235600000000001</c:v>
                </c:pt>
                <c:pt idx="15">
                  <c:v>3.7500299999999993</c:v>
                </c:pt>
                <c:pt idx="16">
                  <c:v>3.9706199999999998</c:v>
                </c:pt>
                <c:pt idx="17">
                  <c:v>4.2647399999999998</c:v>
                </c:pt>
                <c:pt idx="18">
                  <c:v>4.4853299999999994</c:v>
                </c:pt>
                <c:pt idx="19">
                  <c:v>4.1912099999999999</c:v>
                </c:pt>
                <c:pt idx="20">
                  <c:v>3.9706199999999998</c:v>
                </c:pt>
                <c:pt idx="21">
                  <c:v>3.3823799999999995</c:v>
                </c:pt>
                <c:pt idx="22">
                  <c:v>2.3529599999999999</c:v>
                </c:pt>
                <c:pt idx="23">
                  <c:v>1.54413</c:v>
                </c:pt>
                <c:pt idx="24">
                  <c:v>1.0294199999999998</c:v>
                </c:pt>
                <c:pt idx="25">
                  <c:v>1.17648</c:v>
                </c:pt>
                <c:pt idx="26">
                  <c:v>0.80883000000000005</c:v>
                </c:pt>
                <c:pt idx="27">
                  <c:v>0.80883000000000005</c:v>
                </c:pt>
                <c:pt idx="28">
                  <c:v>0.44117999999999996</c:v>
                </c:pt>
                <c:pt idx="29">
                  <c:v>0.14706</c:v>
                </c:pt>
                <c:pt idx="30">
                  <c:v>-0.22058999999999998</c:v>
                </c:pt>
                <c:pt idx="31">
                  <c:v>7.3529999999999998E-2</c:v>
                </c:pt>
                <c:pt idx="32">
                  <c:v>0</c:v>
                </c:pt>
                <c:pt idx="33">
                  <c:v>0.14706</c:v>
                </c:pt>
                <c:pt idx="34">
                  <c:v>0.88235999999999992</c:v>
                </c:pt>
                <c:pt idx="35">
                  <c:v>1.4705999999999999</c:v>
                </c:pt>
                <c:pt idx="36">
                  <c:v>1.8382499999999999</c:v>
                </c:pt>
                <c:pt idx="37">
                  <c:v>1.4705999999999999</c:v>
                </c:pt>
                <c:pt idx="38">
                  <c:v>1.6176600000000001</c:v>
                </c:pt>
                <c:pt idx="39">
                  <c:v>1.6176600000000001</c:v>
                </c:pt>
                <c:pt idx="40">
                  <c:v>1.54413</c:v>
                </c:pt>
                <c:pt idx="41">
                  <c:v>1.17648</c:v>
                </c:pt>
                <c:pt idx="42">
                  <c:v>1.3235399999999999</c:v>
                </c:pt>
                <c:pt idx="43">
                  <c:v>1.17648</c:v>
                </c:pt>
                <c:pt idx="44">
                  <c:v>1.3235399999999999</c:v>
                </c:pt>
                <c:pt idx="45">
                  <c:v>1.54413</c:v>
                </c:pt>
                <c:pt idx="46">
                  <c:v>1.54413</c:v>
                </c:pt>
                <c:pt idx="47">
                  <c:v>1.6176600000000001</c:v>
                </c:pt>
                <c:pt idx="48">
                  <c:v>1.9853099999999999</c:v>
                </c:pt>
                <c:pt idx="49">
                  <c:v>2.2794300000000001</c:v>
                </c:pt>
                <c:pt idx="50">
                  <c:v>2.3529599999999999</c:v>
                </c:pt>
                <c:pt idx="51">
                  <c:v>2.4264899999999998</c:v>
                </c:pt>
                <c:pt idx="52">
                  <c:v>2.57355</c:v>
                </c:pt>
                <c:pt idx="53">
                  <c:v>2.57355</c:v>
                </c:pt>
                <c:pt idx="54">
                  <c:v>2.5000199999999997</c:v>
                </c:pt>
                <c:pt idx="55">
                  <c:v>2.6470799999999999</c:v>
                </c:pt>
                <c:pt idx="56">
                  <c:v>2.7206099999999998</c:v>
                </c:pt>
                <c:pt idx="57">
                  <c:v>3.0147299999999997</c:v>
                </c:pt>
                <c:pt idx="58">
                  <c:v>3.08826</c:v>
                </c:pt>
                <c:pt idx="59">
                  <c:v>3.1617899999999999</c:v>
                </c:pt>
                <c:pt idx="60">
                  <c:v>3.08826</c:v>
                </c:pt>
                <c:pt idx="61">
                  <c:v>3.3088499999999996</c:v>
                </c:pt>
                <c:pt idx="62">
                  <c:v>3.3823799999999995</c:v>
                </c:pt>
                <c:pt idx="63">
                  <c:v>3.4559099999999998</c:v>
                </c:pt>
                <c:pt idx="64">
                  <c:v>3.08826</c:v>
                </c:pt>
                <c:pt idx="65">
                  <c:v>3.2353200000000002</c:v>
                </c:pt>
                <c:pt idx="66">
                  <c:v>2.9411999999999998</c:v>
                </c:pt>
                <c:pt idx="67">
                  <c:v>3.08826</c:v>
                </c:pt>
                <c:pt idx="68">
                  <c:v>3.4559099999999998</c:v>
                </c:pt>
                <c:pt idx="69">
                  <c:v>2.9411999999999998</c:v>
                </c:pt>
                <c:pt idx="70">
                  <c:v>2.57355</c:v>
                </c:pt>
                <c:pt idx="71">
                  <c:v>2.2794300000000001</c:v>
                </c:pt>
                <c:pt idx="72">
                  <c:v>1.9853099999999999</c:v>
                </c:pt>
                <c:pt idx="73">
                  <c:v>1.7647199999999998</c:v>
                </c:pt>
                <c:pt idx="74">
                  <c:v>1.4705999999999999</c:v>
                </c:pt>
                <c:pt idx="75">
                  <c:v>1.1029499999999999</c:v>
                </c:pt>
                <c:pt idx="76">
                  <c:v>1.1029499999999999</c:v>
                </c:pt>
                <c:pt idx="77">
                  <c:v>1.2500099999999998</c:v>
                </c:pt>
                <c:pt idx="78">
                  <c:v>1.4705999999999999</c:v>
                </c:pt>
                <c:pt idx="79">
                  <c:v>1.2500099999999998</c:v>
                </c:pt>
                <c:pt idx="80">
                  <c:v>0.73529999999999995</c:v>
                </c:pt>
                <c:pt idx="81">
                  <c:v>0.58823999999999999</c:v>
                </c:pt>
                <c:pt idx="82">
                  <c:v>0.58823999999999999</c:v>
                </c:pt>
                <c:pt idx="83">
                  <c:v>0.88235999999999992</c:v>
                </c:pt>
                <c:pt idx="84">
                  <c:v>0.88235999999999992</c:v>
                </c:pt>
                <c:pt idx="85">
                  <c:v>0.44117999999999996</c:v>
                </c:pt>
                <c:pt idx="86">
                  <c:v>0.29411999999999999</c:v>
                </c:pt>
                <c:pt idx="87">
                  <c:v>0.36764999999999998</c:v>
                </c:pt>
                <c:pt idx="88">
                  <c:v>0.36764999999999998</c:v>
                </c:pt>
                <c:pt idx="89">
                  <c:v>0.22058999999999998</c:v>
                </c:pt>
                <c:pt idx="90">
                  <c:v>0.14706</c:v>
                </c:pt>
                <c:pt idx="91">
                  <c:v>0.14706</c:v>
                </c:pt>
                <c:pt idx="92">
                  <c:v>0</c:v>
                </c:pt>
                <c:pt idx="93">
                  <c:v>7.3529999999999998E-2</c:v>
                </c:pt>
                <c:pt idx="94">
                  <c:v>0.14706</c:v>
                </c:pt>
                <c:pt idx="95">
                  <c:v>-0.36764999999999998</c:v>
                </c:pt>
                <c:pt idx="96">
                  <c:v>-1.0294199999999998</c:v>
                </c:pt>
                <c:pt idx="97">
                  <c:v>-0.36764999999999998</c:v>
                </c:pt>
                <c:pt idx="98">
                  <c:v>0</c:v>
                </c:pt>
                <c:pt idx="99">
                  <c:v>0</c:v>
                </c:pt>
                <c:pt idx="100">
                  <c:v>0.22058999999999998</c:v>
                </c:pt>
                <c:pt idx="101">
                  <c:v>0.14706</c:v>
                </c:pt>
                <c:pt idx="102">
                  <c:v>-7.3529999999999998E-2</c:v>
                </c:pt>
                <c:pt idx="103">
                  <c:v>-0.22058999999999998</c:v>
                </c:pt>
                <c:pt idx="104">
                  <c:v>-0.22058999999999998</c:v>
                </c:pt>
                <c:pt idx="105">
                  <c:v>-7.3529999999999998E-2</c:v>
                </c:pt>
                <c:pt idx="106">
                  <c:v>-7.3529999999999998E-2</c:v>
                </c:pt>
                <c:pt idx="107">
                  <c:v>0</c:v>
                </c:pt>
                <c:pt idx="108">
                  <c:v>7.3529999999999998E-2</c:v>
                </c:pt>
                <c:pt idx="109">
                  <c:v>-0.58823999999999999</c:v>
                </c:pt>
                <c:pt idx="110">
                  <c:v>-0.80883000000000005</c:v>
                </c:pt>
                <c:pt idx="111">
                  <c:v>-0.66176999999999997</c:v>
                </c:pt>
                <c:pt idx="112">
                  <c:v>-0.44117999999999996</c:v>
                </c:pt>
                <c:pt idx="113">
                  <c:v>-0.14706</c:v>
                </c:pt>
                <c:pt idx="114">
                  <c:v>-7.3529999999999998E-2</c:v>
                </c:pt>
                <c:pt idx="115">
                  <c:v>7.3529999999999998E-2</c:v>
                </c:pt>
                <c:pt idx="116">
                  <c:v>0.14706</c:v>
                </c:pt>
                <c:pt idx="117">
                  <c:v>0.14706</c:v>
                </c:pt>
                <c:pt idx="118">
                  <c:v>0.36764999999999998</c:v>
                </c:pt>
                <c:pt idx="119">
                  <c:v>0.73529999999999995</c:v>
                </c:pt>
                <c:pt idx="120">
                  <c:v>1.6176600000000001</c:v>
                </c:pt>
              </c:numCache>
            </c:numRef>
          </c:val>
        </c:ser>
        <c:dLbls>
          <c:showLegendKey val="0"/>
          <c:showVal val="0"/>
          <c:showCatName val="0"/>
          <c:showSerName val="0"/>
          <c:showPercent val="0"/>
          <c:showBubbleSize val="0"/>
        </c:dLbls>
        <c:axId val="151869312"/>
        <c:axId val="151879680"/>
      </c:areaChart>
      <c:catAx>
        <c:axId val="151869312"/>
        <c:scaling>
          <c:orientation val="minMax"/>
        </c:scaling>
        <c:delete val="0"/>
        <c:axPos val="b"/>
        <c:majorTickMark val="none"/>
        <c:minorTickMark val="none"/>
        <c:tickLblPos val="nextTo"/>
        <c:txPr>
          <a:bodyPr rot="-5400000" vert="horz"/>
          <a:lstStyle/>
          <a:p>
            <a:pPr>
              <a:defRPr sz="900"/>
            </a:pPr>
            <a:endParaRPr lang="it-IT"/>
          </a:p>
        </c:txPr>
        <c:crossAx val="151879680"/>
        <c:crosses val="autoZero"/>
        <c:auto val="1"/>
        <c:lblAlgn val="ctr"/>
        <c:lblOffset val="100"/>
        <c:tickLblSkip val="1"/>
        <c:tickMarkSkip val="1"/>
        <c:noMultiLvlLbl val="0"/>
      </c:catAx>
      <c:valAx>
        <c:axId val="151879680"/>
        <c:scaling>
          <c:orientation val="minMax"/>
          <c:max val="23"/>
          <c:min val="0"/>
        </c:scaling>
        <c:delete val="0"/>
        <c:axPos val="l"/>
        <c:numFmt formatCode="0.0" sourceLinked="0"/>
        <c:majorTickMark val="none"/>
        <c:minorTickMark val="none"/>
        <c:tickLblPos val="nextTo"/>
        <c:crossAx val="151869312"/>
        <c:crosses val="autoZero"/>
        <c:crossBetween val="midCat"/>
      </c:valAx>
    </c:plotArea>
    <c:legend>
      <c:legendPos val="b"/>
      <c:layout/>
      <c:overlay val="0"/>
      <c:txPr>
        <a:bodyPr/>
        <a:lstStyle/>
        <a:p>
          <a:pPr>
            <a:defRPr b="1"/>
          </a:pPr>
          <a:endParaRPr lang="it-IT"/>
        </a:p>
      </c:txPr>
    </c:legend>
    <c:plotVisOnly val="1"/>
    <c:dispBlanksAs val="zero"/>
    <c:showDLblsOverMax val="0"/>
  </c:chart>
  <c:txPr>
    <a:bodyPr/>
    <a:lstStyle/>
    <a:p>
      <a:pPr>
        <a:defRPr sz="900">
          <a:latin typeface="Arial" panose="020B0604020202020204" pitchFamily="34" charset="0"/>
          <a:cs typeface="Arial" panose="020B0604020202020204" pitchFamily="34" charset="0"/>
        </a:defRPr>
      </a:pPr>
      <a:endParaRPr lang="it-IT"/>
    </a:p>
  </c:txPr>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B7E05-3548-4165-BD68-AF42EAAA7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987</Words>
  <Characters>5629</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CONFCOMMERCIO</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Stage08</dc:creator>
  <cp:lastModifiedBy>moretti</cp:lastModifiedBy>
  <cp:revision>5</cp:revision>
  <cp:lastPrinted>2017-03-06T16:40:00Z</cp:lastPrinted>
  <dcterms:created xsi:type="dcterms:W3CDTF">2017-03-07T08:38:00Z</dcterms:created>
  <dcterms:modified xsi:type="dcterms:W3CDTF">2017-03-07T15:02:00Z</dcterms:modified>
</cp:coreProperties>
</file>