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80" w:rsidRPr="007B3B66" w:rsidRDefault="00B75680" w:rsidP="00B75680">
      <w:pPr>
        <w:spacing w:after="120" w:line="240" w:lineRule="auto"/>
        <w:jc w:val="both"/>
        <w:rPr>
          <w:rFonts w:ascii="Verdana" w:hAnsi="Verdana"/>
          <w:b/>
          <w:sz w:val="20"/>
          <w:szCs w:val="20"/>
        </w:rPr>
      </w:pPr>
      <w:r>
        <w:rPr>
          <w:rFonts w:ascii="Verdana" w:hAnsi="Verdana"/>
          <w:b/>
          <w:sz w:val="20"/>
          <w:szCs w:val="20"/>
        </w:rPr>
        <w:t>UNA STIMA DEI</w:t>
      </w:r>
      <w:r w:rsidRPr="007B3B66">
        <w:rPr>
          <w:rFonts w:ascii="Verdana" w:hAnsi="Verdana"/>
          <w:b/>
          <w:sz w:val="20"/>
          <w:szCs w:val="20"/>
        </w:rPr>
        <w:t xml:space="preserve"> COSTI PER LE </w:t>
      </w:r>
      <w:r>
        <w:rPr>
          <w:rFonts w:ascii="Verdana" w:hAnsi="Verdana"/>
          <w:b/>
          <w:sz w:val="20"/>
          <w:szCs w:val="20"/>
        </w:rPr>
        <w:t>IMPRESE</w:t>
      </w:r>
    </w:p>
    <w:p w:rsidR="00B75680" w:rsidRDefault="00B75680" w:rsidP="00B75680">
      <w:pPr>
        <w:spacing w:after="0" w:line="240" w:lineRule="auto"/>
        <w:jc w:val="both"/>
        <w:rPr>
          <w:rFonts w:ascii="Verdana" w:hAnsi="Verdana"/>
          <w:sz w:val="20"/>
          <w:szCs w:val="20"/>
        </w:rPr>
      </w:pPr>
      <w:r>
        <w:rPr>
          <w:rFonts w:ascii="Verdana" w:hAnsi="Verdana"/>
          <w:sz w:val="20"/>
          <w:szCs w:val="20"/>
        </w:rPr>
        <w:t xml:space="preserve">L’incidenza percentuale dei costi legati agli incassi tramite POS cresce al diminuire della dimensione aziendale, anche in relazione al minore potere contrattuale nei confronti del sistema bancario. Vi è, dunque, una maggiore penalizzazione per </w:t>
      </w:r>
      <w:r w:rsidR="00D06654">
        <w:rPr>
          <w:rFonts w:ascii="Verdana" w:hAnsi="Verdana"/>
          <w:sz w:val="20"/>
          <w:szCs w:val="20"/>
        </w:rPr>
        <w:t>le imprese di minori dimensioni.</w:t>
      </w:r>
    </w:p>
    <w:p w:rsidR="00B75680" w:rsidRDefault="00B75680" w:rsidP="00B75680">
      <w:pPr>
        <w:spacing w:after="0" w:line="240" w:lineRule="auto"/>
        <w:jc w:val="both"/>
        <w:rPr>
          <w:rFonts w:ascii="Verdana" w:hAnsi="Verdana"/>
          <w:sz w:val="20"/>
          <w:szCs w:val="20"/>
        </w:rPr>
      </w:pPr>
    </w:p>
    <w:p w:rsidR="00B75680" w:rsidRDefault="003E5730" w:rsidP="00B75680">
      <w:pPr>
        <w:spacing w:after="0" w:line="240" w:lineRule="auto"/>
        <w:jc w:val="both"/>
        <w:rPr>
          <w:rFonts w:ascii="Verdana" w:hAnsi="Verdana"/>
          <w:sz w:val="20"/>
          <w:szCs w:val="20"/>
        </w:rPr>
      </w:pPr>
      <w:r>
        <w:rPr>
          <w:rFonts w:ascii="Verdana" w:hAnsi="Verdana"/>
          <w:sz w:val="20"/>
          <w:szCs w:val="20"/>
        </w:rPr>
        <w:t>Nella tabella seguente s</w:t>
      </w:r>
      <w:r w:rsidR="00DD6007">
        <w:rPr>
          <w:rFonts w:ascii="Verdana" w:hAnsi="Verdana"/>
          <w:sz w:val="20"/>
          <w:szCs w:val="20"/>
        </w:rPr>
        <w:t>i è</w:t>
      </w:r>
      <w:r>
        <w:rPr>
          <w:rFonts w:ascii="Verdana" w:hAnsi="Verdana"/>
          <w:sz w:val="20"/>
          <w:szCs w:val="20"/>
        </w:rPr>
        <w:t xml:space="preserve"> </w:t>
      </w:r>
      <w:r w:rsidR="00DD6007">
        <w:rPr>
          <w:rFonts w:ascii="Verdana" w:hAnsi="Verdana"/>
          <w:sz w:val="20"/>
          <w:szCs w:val="20"/>
        </w:rPr>
        <w:t xml:space="preserve">analizzato </w:t>
      </w:r>
      <w:r w:rsidR="00B75680">
        <w:rPr>
          <w:rFonts w:ascii="Verdana" w:hAnsi="Verdana"/>
          <w:sz w:val="20"/>
          <w:szCs w:val="20"/>
        </w:rPr>
        <w:t>il caso di due imprese, una con fatturato annuo pari a 150 mila euro e l’altra con fatturato annuo di 400 mila euro.</w:t>
      </w:r>
      <w:r w:rsidR="008D79D8">
        <w:rPr>
          <w:rFonts w:ascii="Verdana" w:hAnsi="Verdana"/>
          <w:sz w:val="20"/>
          <w:szCs w:val="20"/>
        </w:rPr>
        <w:t xml:space="preserve"> </w:t>
      </w:r>
      <w:r w:rsidR="00B75680">
        <w:rPr>
          <w:rFonts w:ascii="Verdana" w:hAnsi="Verdana"/>
          <w:sz w:val="20"/>
          <w:szCs w:val="20"/>
        </w:rPr>
        <w:t>Per la prima l’incidenza stimata sul fatturato incassato tramite POS, al netto dell’Iva, è</w:t>
      </w:r>
      <w:r w:rsidR="00D06654">
        <w:rPr>
          <w:rFonts w:ascii="Verdana" w:hAnsi="Verdana"/>
          <w:sz w:val="20"/>
          <w:szCs w:val="20"/>
        </w:rPr>
        <w:t xml:space="preserve"> </w:t>
      </w:r>
      <w:r>
        <w:rPr>
          <w:rFonts w:ascii="Verdana" w:hAnsi="Verdana"/>
          <w:sz w:val="20"/>
          <w:szCs w:val="20"/>
        </w:rPr>
        <w:t>più alta, pari a</w:t>
      </w:r>
      <w:r w:rsidR="00B75680">
        <w:rPr>
          <w:rFonts w:ascii="Verdana" w:hAnsi="Verdana"/>
          <w:sz w:val="20"/>
          <w:szCs w:val="20"/>
        </w:rPr>
        <w:t>l 3,12% (1.920 euro), mentre per la seconda è del 2,22% (3.645 euro).</w:t>
      </w:r>
    </w:p>
    <w:p w:rsidR="00B75680" w:rsidRDefault="00B75680" w:rsidP="00B75680">
      <w:pPr>
        <w:spacing w:after="0" w:line="240" w:lineRule="auto"/>
        <w:jc w:val="both"/>
        <w:rPr>
          <w:rFonts w:ascii="Verdana" w:hAnsi="Verdana"/>
          <w:sz w:val="20"/>
          <w:szCs w:val="20"/>
        </w:rPr>
      </w:pPr>
    </w:p>
    <w:p w:rsidR="00B75680" w:rsidRDefault="00886457" w:rsidP="00B75680">
      <w:pPr>
        <w:spacing w:after="0" w:line="240" w:lineRule="auto"/>
        <w:ind w:left="709"/>
        <w:jc w:val="center"/>
        <w:rPr>
          <w:rFonts w:ascii="Verdana" w:hAnsi="Verdana"/>
          <w:b/>
          <w:sz w:val="16"/>
          <w:szCs w:val="16"/>
        </w:rPr>
      </w:pPr>
      <w:r>
        <w:rPr>
          <w:rFonts w:ascii="Verdana" w:hAnsi="Verdana"/>
          <w:b/>
          <w:sz w:val="16"/>
          <w:szCs w:val="16"/>
        </w:rPr>
        <w:t>STIMA DE</w:t>
      </w:r>
      <w:r w:rsidR="00B75680">
        <w:rPr>
          <w:rFonts w:ascii="Verdana" w:hAnsi="Verdana"/>
          <w:b/>
          <w:sz w:val="16"/>
          <w:szCs w:val="16"/>
        </w:rPr>
        <w:t xml:space="preserve">I </w:t>
      </w:r>
      <w:r w:rsidR="00B75680" w:rsidRPr="005A7949">
        <w:rPr>
          <w:rFonts w:ascii="Verdana" w:hAnsi="Verdana"/>
          <w:b/>
          <w:sz w:val="16"/>
          <w:szCs w:val="16"/>
        </w:rPr>
        <w:t>COSTI DEL POS PER LE IMPRESE</w:t>
      </w:r>
    </w:p>
    <w:tbl>
      <w:tblPr>
        <w:tblStyle w:val="Grigliatabella"/>
        <w:tblW w:w="0" w:type="auto"/>
        <w:jc w:val="center"/>
        <w:tblInd w:w="-491" w:type="dxa"/>
        <w:tblLook w:val="04A0" w:firstRow="1" w:lastRow="0" w:firstColumn="1" w:lastColumn="0" w:noHBand="0" w:noVBand="1"/>
      </w:tblPr>
      <w:tblGrid>
        <w:gridCol w:w="4305"/>
        <w:gridCol w:w="1243"/>
        <w:gridCol w:w="1076"/>
      </w:tblGrid>
      <w:tr w:rsidR="00B75680" w:rsidRPr="0057711B" w:rsidTr="00714F52">
        <w:trPr>
          <w:trHeight w:val="202"/>
          <w:jc w:val="center"/>
        </w:trPr>
        <w:tc>
          <w:tcPr>
            <w:tcW w:w="4305" w:type="dxa"/>
          </w:tcPr>
          <w:p w:rsidR="00B75680" w:rsidRPr="003C2500" w:rsidRDefault="00B75680" w:rsidP="00714F52">
            <w:pPr>
              <w:jc w:val="both"/>
              <w:rPr>
                <w:rFonts w:ascii="Verdana" w:hAnsi="Verdana"/>
                <w:color w:val="000000"/>
                <w:sz w:val="16"/>
                <w:szCs w:val="16"/>
              </w:rPr>
            </w:pPr>
          </w:p>
        </w:tc>
        <w:tc>
          <w:tcPr>
            <w:tcW w:w="1243" w:type="dxa"/>
          </w:tcPr>
          <w:p w:rsidR="00B75680" w:rsidRPr="003C2500" w:rsidRDefault="00B75680" w:rsidP="00714F52">
            <w:pPr>
              <w:jc w:val="center"/>
              <w:rPr>
                <w:rFonts w:ascii="Verdana" w:hAnsi="Verdana"/>
                <w:sz w:val="16"/>
                <w:szCs w:val="16"/>
              </w:rPr>
            </w:pPr>
            <w:r w:rsidRPr="003C2500">
              <w:rPr>
                <w:rFonts w:ascii="Verdana" w:hAnsi="Verdana"/>
                <w:sz w:val="16"/>
                <w:szCs w:val="16"/>
              </w:rPr>
              <w:t>Impresa A</w:t>
            </w:r>
          </w:p>
        </w:tc>
        <w:tc>
          <w:tcPr>
            <w:tcW w:w="1076" w:type="dxa"/>
          </w:tcPr>
          <w:p w:rsidR="00B75680" w:rsidRPr="003C2500" w:rsidRDefault="00B75680" w:rsidP="00714F52">
            <w:pPr>
              <w:jc w:val="center"/>
              <w:rPr>
                <w:rFonts w:ascii="Verdana" w:hAnsi="Verdana"/>
                <w:sz w:val="16"/>
                <w:szCs w:val="16"/>
              </w:rPr>
            </w:pPr>
            <w:r w:rsidRPr="003C2500">
              <w:rPr>
                <w:rFonts w:ascii="Verdana" w:hAnsi="Verdana"/>
                <w:sz w:val="16"/>
                <w:szCs w:val="16"/>
              </w:rPr>
              <w:t>Impresa B</w:t>
            </w:r>
          </w:p>
        </w:tc>
      </w:tr>
      <w:tr w:rsidR="00B75680" w:rsidRPr="0057711B" w:rsidTr="00714F52">
        <w:trPr>
          <w:trHeight w:val="209"/>
          <w:jc w:val="center"/>
        </w:trPr>
        <w:tc>
          <w:tcPr>
            <w:tcW w:w="4305" w:type="dxa"/>
          </w:tcPr>
          <w:p w:rsidR="00B75680" w:rsidRPr="003C2500" w:rsidRDefault="00B75680" w:rsidP="00714F52">
            <w:pPr>
              <w:jc w:val="both"/>
              <w:rPr>
                <w:rFonts w:ascii="Verdana" w:hAnsi="Verdana"/>
                <w:sz w:val="16"/>
                <w:szCs w:val="16"/>
              </w:rPr>
            </w:pPr>
            <w:r w:rsidRPr="003C2500">
              <w:rPr>
                <w:rFonts w:ascii="Verdana" w:hAnsi="Verdana"/>
                <w:color w:val="000000"/>
                <w:sz w:val="16"/>
                <w:szCs w:val="16"/>
              </w:rPr>
              <w:t xml:space="preserve">Totale annuo incassi </w:t>
            </w:r>
          </w:p>
        </w:tc>
        <w:tc>
          <w:tcPr>
            <w:tcW w:w="1243" w:type="dxa"/>
          </w:tcPr>
          <w:p w:rsidR="00B75680" w:rsidRPr="003C2500" w:rsidRDefault="00B75680" w:rsidP="00714F52">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Pr="003C2500">
              <w:rPr>
                <w:rFonts w:ascii="Verdana" w:hAnsi="Verdana"/>
                <w:sz w:val="16"/>
                <w:szCs w:val="16"/>
              </w:rPr>
              <w:t xml:space="preserve">150.000 </w:t>
            </w:r>
          </w:p>
        </w:tc>
        <w:tc>
          <w:tcPr>
            <w:tcW w:w="1076" w:type="dxa"/>
          </w:tcPr>
          <w:p w:rsidR="00B75680" w:rsidRPr="003C2500" w:rsidRDefault="00B75680" w:rsidP="00714F52">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Pr="003C2500">
              <w:rPr>
                <w:rFonts w:ascii="Verdana" w:hAnsi="Verdana"/>
                <w:sz w:val="16"/>
                <w:szCs w:val="16"/>
              </w:rPr>
              <w:t xml:space="preserve">400.000 </w:t>
            </w:r>
          </w:p>
        </w:tc>
      </w:tr>
      <w:tr w:rsidR="00B75680" w:rsidRPr="0057711B" w:rsidTr="00714F52">
        <w:trPr>
          <w:trHeight w:val="202"/>
          <w:jc w:val="center"/>
        </w:trPr>
        <w:tc>
          <w:tcPr>
            <w:tcW w:w="4305" w:type="dxa"/>
          </w:tcPr>
          <w:p w:rsidR="00B75680" w:rsidRPr="003C2500" w:rsidRDefault="00B75680" w:rsidP="00714F52">
            <w:pPr>
              <w:jc w:val="both"/>
              <w:rPr>
                <w:rFonts w:ascii="Verdana" w:hAnsi="Verdana"/>
                <w:sz w:val="16"/>
                <w:szCs w:val="16"/>
              </w:rPr>
            </w:pPr>
            <w:r w:rsidRPr="003C2500">
              <w:rPr>
                <w:rFonts w:ascii="Verdana" w:hAnsi="Verdana"/>
                <w:sz w:val="16"/>
                <w:szCs w:val="16"/>
              </w:rPr>
              <w:t>Stima ammontare incassi tramite POS pari al 50%</w:t>
            </w:r>
            <w:r>
              <w:rPr>
                <w:rFonts w:ascii="Verdana" w:hAnsi="Verdana"/>
                <w:sz w:val="16"/>
                <w:szCs w:val="16"/>
              </w:rPr>
              <w:t xml:space="preserve"> del totale</w:t>
            </w:r>
          </w:p>
        </w:tc>
        <w:tc>
          <w:tcPr>
            <w:tcW w:w="1243" w:type="dxa"/>
          </w:tcPr>
          <w:p w:rsidR="00B75680" w:rsidRPr="003C2500" w:rsidRDefault="00B75680" w:rsidP="00714F52">
            <w:pPr>
              <w:jc w:val="center"/>
              <w:rPr>
                <w:rFonts w:ascii="Verdana" w:hAnsi="Verdana"/>
                <w:sz w:val="16"/>
                <w:szCs w:val="16"/>
              </w:rPr>
            </w:pPr>
            <w:r>
              <w:rPr>
                <w:rFonts w:ascii="Verdana" w:hAnsi="Verdana"/>
                <w:sz w:val="16"/>
                <w:szCs w:val="16"/>
              </w:rPr>
              <w:t xml:space="preserve">€ </w:t>
            </w:r>
            <w:r w:rsidRPr="003C2500">
              <w:rPr>
                <w:rFonts w:ascii="Verdana" w:hAnsi="Verdana"/>
                <w:sz w:val="16"/>
                <w:szCs w:val="16"/>
              </w:rPr>
              <w:t>75.000</w:t>
            </w:r>
          </w:p>
        </w:tc>
        <w:tc>
          <w:tcPr>
            <w:tcW w:w="1076" w:type="dxa"/>
          </w:tcPr>
          <w:p w:rsidR="00B75680" w:rsidRPr="003C2500" w:rsidRDefault="00B75680" w:rsidP="00714F52">
            <w:pPr>
              <w:jc w:val="center"/>
              <w:rPr>
                <w:rFonts w:ascii="Verdana" w:hAnsi="Verdana"/>
                <w:sz w:val="16"/>
                <w:szCs w:val="16"/>
              </w:rPr>
            </w:pPr>
            <w:r>
              <w:rPr>
                <w:rFonts w:ascii="Verdana" w:hAnsi="Verdana"/>
                <w:sz w:val="16"/>
                <w:szCs w:val="16"/>
              </w:rPr>
              <w:t xml:space="preserve">€ </w:t>
            </w:r>
            <w:r w:rsidRPr="003C2500">
              <w:rPr>
                <w:rFonts w:ascii="Verdana" w:hAnsi="Verdana"/>
                <w:sz w:val="16"/>
                <w:szCs w:val="16"/>
              </w:rPr>
              <w:t xml:space="preserve">200.000 </w:t>
            </w:r>
          </w:p>
        </w:tc>
      </w:tr>
      <w:tr w:rsidR="00B75680" w:rsidRPr="0057711B" w:rsidTr="00714F52">
        <w:trPr>
          <w:trHeight w:val="209"/>
          <w:jc w:val="center"/>
        </w:trPr>
        <w:tc>
          <w:tcPr>
            <w:tcW w:w="4305" w:type="dxa"/>
          </w:tcPr>
          <w:p w:rsidR="00B75680" w:rsidRPr="003C2500" w:rsidRDefault="00B75680" w:rsidP="00714F52">
            <w:pPr>
              <w:jc w:val="both"/>
              <w:rPr>
                <w:rFonts w:ascii="Verdana" w:hAnsi="Verdana"/>
                <w:sz w:val="16"/>
                <w:szCs w:val="16"/>
              </w:rPr>
            </w:pPr>
            <w:r w:rsidRPr="003C2500">
              <w:rPr>
                <w:rFonts w:ascii="Verdana" w:hAnsi="Verdana"/>
                <w:color w:val="000000"/>
                <w:sz w:val="16"/>
                <w:szCs w:val="16"/>
              </w:rPr>
              <w:t>Canone annuale gestione servizio POS</w:t>
            </w:r>
          </w:p>
        </w:tc>
        <w:tc>
          <w:tcPr>
            <w:tcW w:w="1243" w:type="dxa"/>
          </w:tcPr>
          <w:p w:rsidR="00B75680" w:rsidRPr="003C2500" w:rsidRDefault="00E50D26" w:rsidP="00E50D26">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00B75680" w:rsidRPr="003C2500">
              <w:rPr>
                <w:rFonts w:ascii="Verdana" w:hAnsi="Verdana"/>
                <w:sz w:val="16"/>
                <w:szCs w:val="16"/>
              </w:rPr>
              <w:t>300</w:t>
            </w:r>
          </w:p>
        </w:tc>
        <w:tc>
          <w:tcPr>
            <w:tcW w:w="1076" w:type="dxa"/>
          </w:tcPr>
          <w:p w:rsidR="00B75680" w:rsidRPr="003C2500" w:rsidRDefault="00E50D26" w:rsidP="00E50D26">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00B75680" w:rsidRPr="003C2500">
              <w:rPr>
                <w:rFonts w:ascii="Verdana" w:hAnsi="Verdana"/>
                <w:sz w:val="16"/>
                <w:szCs w:val="16"/>
              </w:rPr>
              <w:t>150</w:t>
            </w:r>
          </w:p>
        </w:tc>
      </w:tr>
      <w:tr w:rsidR="00B75680" w:rsidRPr="0057711B" w:rsidTr="00714F52">
        <w:trPr>
          <w:trHeight w:val="202"/>
          <w:jc w:val="center"/>
        </w:trPr>
        <w:tc>
          <w:tcPr>
            <w:tcW w:w="4305" w:type="dxa"/>
          </w:tcPr>
          <w:p w:rsidR="00B75680" w:rsidRPr="003C2500" w:rsidRDefault="00B75680" w:rsidP="00714F52">
            <w:pPr>
              <w:jc w:val="both"/>
              <w:rPr>
                <w:rFonts w:ascii="Verdana" w:hAnsi="Verdana"/>
                <w:sz w:val="16"/>
                <w:szCs w:val="16"/>
              </w:rPr>
            </w:pPr>
            <w:r w:rsidRPr="003C2500">
              <w:rPr>
                <w:rFonts w:ascii="Verdana" w:hAnsi="Verdana"/>
                <w:color w:val="000000"/>
                <w:sz w:val="16"/>
                <w:szCs w:val="16"/>
              </w:rPr>
              <w:t>Commissione media per operazione pari all’</w:t>
            </w:r>
            <w:r w:rsidRPr="003C2500">
              <w:rPr>
                <w:rFonts w:ascii="Verdana" w:hAnsi="Verdana"/>
                <w:sz w:val="16"/>
                <w:szCs w:val="16"/>
              </w:rPr>
              <w:t>1,50%</w:t>
            </w:r>
            <w:r>
              <w:rPr>
                <w:rFonts w:ascii="Verdana" w:hAnsi="Verdana"/>
                <w:sz w:val="16"/>
                <w:szCs w:val="16"/>
              </w:rPr>
              <w:t xml:space="preserve"> </w:t>
            </w:r>
          </w:p>
        </w:tc>
        <w:tc>
          <w:tcPr>
            <w:tcW w:w="1243" w:type="dxa"/>
          </w:tcPr>
          <w:p w:rsidR="00B75680" w:rsidRPr="003C2500" w:rsidRDefault="00E50D26" w:rsidP="00E50D26">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00B75680" w:rsidRPr="003C2500">
              <w:rPr>
                <w:rFonts w:ascii="Verdana" w:hAnsi="Verdana"/>
                <w:sz w:val="16"/>
                <w:szCs w:val="16"/>
              </w:rPr>
              <w:t>1.125</w:t>
            </w:r>
          </w:p>
        </w:tc>
        <w:tc>
          <w:tcPr>
            <w:tcW w:w="1076" w:type="dxa"/>
          </w:tcPr>
          <w:p w:rsidR="00B75680" w:rsidRPr="003C2500" w:rsidRDefault="00E50D26" w:rsidP="00714F52">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w:t>
            </w:r>
            <w:r w:rsidR="00B75680" w:rsidRPr="003C2500">
              <w:rPr>
                <w:rFonts w:ascii="Verdana" w:hAnsi="Verdana"/>
                <w:sz w:val="16"/>
                <w:szCs w:val="16"/>
              </w:rPr>
              <w:t>3.0</w:t>
            </w:r>
            <w:r>
              <w:rPr>
                <w:rFonts w:ascii="Verdana" w:hAnsi="Verdana"/>
                <w:sz w:val="16"/>
                <w:szCs w:val="16"/>
              </w:rPr>
              <w:t>00</w:t>
            </w:r>
          </w:p>
        </w:tc>
      </w:tr>
      <w:tr w:rsidR="00B75680" w:rsidRPr="0057711B" w:rsidTr="00714F52">
        <w:trPr>
          <w:trHeight w:val="411"/>
          <w:jc w:val="center"/>
        </w:trPr>
        <w:tc>
          <w:tcPr>
            <w:tcW w:w="4305" w:type="dxa"/>
          </w:tcPr>
          <w:p w:rsidR="00B75680" w:rsidRPr="003C2500" w:rsidRDefault="00B75680" w:rsidP="00714F52">
            <w:pPr>
              <w:jc w:val="both"/>
              <w:rPr>
                <w:rFonts w:ascii="Verdana" w:hAnsi="Verdana"/>
                <w:color w:val="000000"/>
                <w:sz w:val="16"/>
                <w:szCs w:val="16"/>
              </w:rPr>
            </w:pPr>
            <w:r w:rsidRPr="003C2500">
              <w:rPr>
                <w:rFonts w:ascii="Verdana" w:hAnsi="Verdana"/>
                <w:color w:val="000000"/>
                <w:sz w:val="16"/>
                <w:szCs w:val="16"/>
              </w:rPr>
              <w:t>Spese annue per chiusura e accredito giornaliero POS</w:t>
            </w:r>
          </w:p>
        </w:tc>
        <w:tc>
          <w:tcPr>
            <w:tcW w:w="1243" w:type="dxa"/>
          </w:tcPr>
          <w:p w:rsidR="00B75680" w:rsidRPr="003C2500" w:rsidRDefault="00E50D26" w:rsidP="00714F52">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495</w:t>
            </w:r>
          </w:p>
        </w:tc>
        <w:tc>
          <w:tcPr>
            <w:tcW w:w="1076" w:type="dxa"/>
          </w:tcPr>
          <w:p w:rsidR="00B75680" w:rsidRPr="003C2500" w:rsidRDefault="00E50D26" w:rsidP="00714F52">
            <w:pPr>
              <w:jc w:val="center"/>
              <w:rPr>
                <w:rFonts w:ascii="Verdana" w:hAnsi="Verdana"/>
                <w:sz w:val="16"/>
                <w:szCs w:val="16"/>
              </w:rPr>
            </w:pPr>
            <w:r w:rsidRPr="003C2500">
              <w:rPr>
                <w:rFonts w:ascii="Verdana" w:hAnsi="Verdana"/>
                <w:sz w:val="16"/>
                <w:szCs w:val="16"/>
              </w:rPr>
              <w:t>€</w:t>
            </w:r>
            <w:r>
              <w:rPr>
                <w:rFonts w:ascii="Verdana" w:hAnsi="Verdana"/>
                <w:sz w:val="16"/>
                <w:szCs w:val="16"/>
              </w:rPr>
              <w:t xml:space="preserve"> 495</w:t>
            </w:r>
          </w:p>
        </w:tc>
      </w:tr>
      <w:tr w:rsidR="00B75680" w:rsidRPr="0057711B" w:rsidTr="00714F52">
        <w:trPr>
          <w:trHeight w:val="202"/>
          <w:jc w:val="center"/>
        </w:trPr>
        <w:tc>
          <w:tcPr>
            <w:tcW w:w="4305" w:type="dxa"/>
          </w:tcPr>
          <w:p w:rsidR="00B75680" w:rsidRPr="003C2500" w:rsidRDefault="00B75680" w:rsidP="00714F52">
            <w:pPr>
              <w:jc w:val="both"/>
              <w:rPr>
                <w:rFonts w:ascii="Verdana" w:hAnsi="Verdana"/>
                <w:sz w:val="16"/>
                <w:szCs w:val="16"/>
              </w:rPr>
            </w:pPr>
          </w:p>
        </w:tc>
        <w:tc>
          <w:tcPr>
            <w:tcW w:w="1243" w:type="dxa"/>
          </w:tcPr>
          <w:p w:rsidR="00B75680" w:rsidRPr="003C2500" w:rsidRDefault="00B75680" w:rsidP="00714F52">
            <w:pPr>
              <w:jc w:val="center"/>
              <w:rPr>
                <w:rFonts w:ascii="Verdana" w:hAnsi="Verdana"/>
                <w:sz w:val="16"/>
                <w:szCs w:val="16"/>
              </w:rPr>
            </w:pPr>
          </w:p>
        </w:tc>
        <w:tc>
          <w:tcPr>
            <w:tcW w:w="1076" w:type="dxa"/>
          </w:tcPr>
          <w:p w:rsidR="00B75680" w:rsidRPr="003C2500" w:rsidRDefault="00B75680" w:rsidP="00714F52">
            <w:pPr>
              <w:jc w:val="center"/>
              <w:rPr>
                <w:rFonts w:ascii="Verdana" w:hAnsi="Verdana"/>
                <w:sz w:val="16"/>
                <w:szCs w:val="16"/>
              </w:rPr>
            </w:pPr>
          </w:p>
        </w:tc>
      </w:tr>
      <w:tr w:rsidR="00B75680" w:rsidRPr="0057711B" w:rsidTr="00714F52">
        <w:trPr>
          <w:trHeight w:val="209"/>
          <w:jc w:val="center"/>
        </w:trPr>
        <w:tc>
          <w:tcPr>
            <w:tcW w:w="4305" w:type="dxa"/>
          </w:tcPr>
          <w:p w:rsidR="00B75680" w:rsidRPr="003C2500" w:rsidRDefault="00B75680" w:rsidP="00714F52">
            <w:pPr>
              <w:jc w:val="both"/>
              <w:rPr>
                <w:rFonts w:ascii="Verdana" w:hAnsi="Verdana"/>
                <w:b/>
                <w:sz w:val="16"/>
                <w:szCs w:val="16"/>
              </w:rPr>
            </w:pPr>
            <w:r w:rsidRPr="003C2500">
              <w:rPr>
                <w:rFonts w:ascii="Verdana" w:hAnsi="Verdana"/>
                <w:b/>
                <w:sz w:val="16"/>
                <w:szCs w:val="16"/>
              </w:rPr>
              <w:t>Totale annuo costi POS</w:t>
            </w:r>
          </w:p>
        </w:tc>
        <w:tc>
          <w:tcPr>
            <w:tcW w:w="1243" w:type="dxa"/>
          </w:tcPr>
          <w:p w:rsidR="00B75680" w:rsidRPr="003C2500" w:rsidRDefault="00E50D26" w:rsidP="00E50D26">
            <w:pPr>
              <w:jc w:val="center"/>
              <w:rPr>
                <w:rFonts w:ascii="Verdana" w:hAnsi="Verdana"/>
                <w:b/>
                <w:sz w:val="16"/>
                <w:szCs w:val="16"/>
              </w:rPr>
            </w:pPr>
            <w:r w:rsidRPr="003C2500">
              <w:rPr>
                <w:rFonts w:ascii="Verdana" w:hAnsi="Verdana"/>
                <w:b/>
                <w:sz w:val="16"/>
                <w:szCs w:val="16"/>
              </w:rPr>
              <w:t>€</w:t>
            </w:r>
            <w:r>
              <w:rPr>
                <w:rFonts w:ascii="Verdana" w:hAnsi="Verdana"/>
                <w:b/>
                <w:sz w:val="16"/>
                <w:szCs w:val="16"/>
              </w:rPr>
              <w:t xml:space="preserve"> </w:t>
            </w:r>
            <w:r w:rsidR="00B75680" w:rsidRPr="003C2500">
              <w:rPr>
                <w:rFonts w:ascii="Verdana" w:hAnsi="Verdana"/>
                <w:b/>
                <w:sz w:val="16"/>
                <w:szCs w:val="16"/>
              </w:rPr>
              <w:t xml:space="preserve">1.920 </w:t>
            </w:r>
          </w:p>
        </w:tc>
        <w:tc>
          <w:tcPr>
            <w:tcW w:w="1076" w:type="dxa"/>
          </w:tcPr>
          <w:p w:rsidR="00B75680" w:rsidRPr="003C2500" w:rsidRDefault="00E50D26" w:rsidP="00E50D26">
            <w:pPr>
              <w:jc w:val="center"/>
              <w:rPr>
                <w:rFonts w:ascii="Verdana" w:hAnsi="Verdana"/>
                <w:b/>
                <w:sz w:val="16"/>
                <w:szCs w:val="16"/>
              </w:rPr>
            </w:pPr>
            <w:r w:rsidRPr="003C2500">
              <w:rPr>
                <w:rFonts w:ascii="Verdana" w:hAnsi="Verdana"/>
                <w:b/>
                <w:sz w:val="16"/>
                <w:szCs w:val="16"/>
              </w:rPr>
              <w:t>€</w:t>
            </w:r>
            <w:r>
              <w:rPr>
                <w:rFonts w:ascii="Verdana" w:hAnsi="Verdana"/>
                <w:b/>
                <w:sz w:val="16"/>
                <w:szCs w:val="16"/>
              </w:rPr>
              <w:t xml:space="preserve"> </w:t>
            </w:r>
            <w:r w:rsidR="00B75680" w:rsidRPr="003C2500">
              <w:rPr>
                <w:rFonts w:ascii="Verdana" w:hAnsi="Verdana"/>
                <w:b/>
                <w:sz w:val="16"/>
                <w:szCs w:val="16"/>
              </w:rPr>
              <w:t xml:space="preserve">3.645 </w:t>
            </w:r>
          </w:p>
        </w:tc>
      </w:tr>
      <w:tr w:rsidR="00B75680" w:rsidRPr="0057711B" w:rsidTr="00714F52">
        <w:trPr>
          <w:trHeight w:val="202"/>
          <w:jc w:val="center"/>
        </w:trPr>
        <w:tc>
          <w:tcPr>
            <w:tcW w:w="4305" w:type="dxa"/>
          </w:tcPr>
          <w:p w:rsidR="00B75680" w:rsidRPr="003C2500" w:rsidRDefault="00B75680" w:rsidP="00714F52">
            <w:pPr>
              <w:jc w:val="both"/>
              <w:rPr>
                <w:rFonts w:ascii="Verdana" w:hAnsi="Verdana"/>
                <w:color w:val="000000"/>
                <w:sz w:val="16"/>
                <w:szCs w:val="16"/>
              </w:rPr>
            </w:pPr>
          </w:p>
        </w:tc>
        <w:tc>
          <w:tcPr>
            <w:tcW w:w="1243" w:type="dxa"/>
          </w:tcPr>
          <w:p w:rsidR="00B75680" w:rsidRPr="003C2500" w:rsidRDefault="00B75680" w:rsidP="00714F52">
            <w:pPr>
              <w:jc w:val="center"/>
              <w:rPr>
                <w:rFonts w:ascii="Verdana" w:hAnsi="Verdana"/>
                <w:sz w:val="16"/>
                <w:szCs w:val="16"/>
              </w:rPr>
            </w:pPr>
          </w:p>
        </w:tc>
        <w:tc>
          <w:tcPr>
            <w:tcW w:w="1076" w:type="dxa"/>
          </w:tcPr>
          <w:p w:rsidR="00B75680" w:rsidRPr="003C2500" w:rsidRDefault="00B75680" w:rsidP="00714F52">
            <w:pPr>
              <w:jc w:val="center"/>
              <w:rPr>
                <w:rFonts w:ascii="Verdana" w:hAnsi="Verdana"/>
                <w:sz w:val="16"/>
                <w:szCs w:val="16"/>
              </w:rPr>
            </w:pPr>
          </w:p>
        </w:tc>
      </w:tr>
      <w:tr w:rsidR="00B75680" w:rsidRPr="0057711B" w:rsidTr="00714F52">
        <w:trPr>
          <w:trHeight w:val="411"/>
          <w:jc w:val="center"/>
        </w:trPr>
        <w:tc>
          <w:tcPr>
            <w:tcW w:w="4305" w:type="dxa"/>
          </w:tcPr>
          <w:p w:rsidR="00B75680" w:rsidRPr="003C2500" w:rsidRDefault="00B75680" w:rsidP="00714F52">
            <w:pPr>
              <w:jc w:val="both"/>
              <w:rPr>
                <w:rFonts w:ascii="Verdana" w:hAnsi="Verdana"/>
                <w:sz w:val="16"/>
                <w:szCs w:val="16"/>
              </w:rPr>
            </w:pPr>
            <w:r w:rsidRPr="003C2500">
              <w:rPr>
                <w:rFonts w:ascii="Verdana" w:hAnsi="Verdana"/>
                <w:color w:val="000000"/>
                <w:sz w:val="16"/>
                <w:szCs w:val="16"/>
              </w:rPr>
              <w:t>Percentuale sul fatturato incassato tramite POS (Iva inclusa)</w:t>
            </w:r>
          </w:p>
        </w:tc>
        <w:tc>
          <w:tcPr>
            <w:tcW w:w="1243" w:type="dxa"/>
          </w:tcPr>
          <w:p w:rsidR="00B75680" w:rsidRPr="003C2500" w:rsidRDefault="00B75680" w:rsidP="00714F52">
            <w:pPr>
              <w:jc w:val="center"/>
              <w:rPr>
                <w:rFonts w:ascii="Verdana" w:hAnsi="Verdana"/>
                <w:sz w:val="16"/>
                <w:szCs w:val="16"/>
              </w:rPr>
            </w:pPr>
            <w:r w:rsidRPr="003C2500">
              <w:rPr>
                <w:rFonts w:ascii="Verdana" w:hAnsi="Verdana"/>
                <w:sz w:val="16"/>
                <w:szCs w:val="16"/>
              </w:rPr>
              <w:t>2,56%</w:t>
            </w:r>
          </w:p>
        </w:tc>
        <w:tc>
          <w:tcPr>
            <w:tcW w:w="1076" w:type="dxa"/>
          </w:tcPr>
          <w:p w:rsidR="00B75680" w:rsidRPr="003C2500" w:rsidRDefault="00B75680" w:rsidP="00714F52">
            <w:pPr>
              <w:jc w:val="center"/>
              <w:rPr>
                <w:rFonts w:ascii="Verdana" w:hAnsi="Verdana"/>
                <w:sz w:val="16"/>
                <w:szCs w:val="16"/>
              </w:rPr>
            </w:pPr>
            <w:r w:rsidRPr="003C2500">
              <w:rPr>
                <w:rFonts w:ascii="Verdana" w:hAnsi="Verdana"/>
                <w:sz w:val="16"/>
                <w:szCs w:val="16"/>
              </w:rPr>
              <w:t>1,82%</w:t>
            </w:r>
          </w:p>
          <w:p w:rsidR="00B75680" w:rsidRPr="003C2500" w:rsidRDefault="00B75680" w:rsidP="00714F52">
            <w:pPr>
              <w:jc w:val="center"/>
              <w:rPr>
                <w:rFonts w:ascii="Verdana" w:hAnsi="Verdana"/>
                <w:sz w:val="16"/>
                <w:szCs w:val="16"/>
              </w:rPr>
            </w:pPr>
          </w:p>
        </w:tc>
      </w:tr>
      <w:tr w:rsidR="00B75680" w:rsidRPr="0057711B" w:rsidTr="00714F52">
        <w:trPr>
          <w:trHeight w:val="411"/>
          <w:jc w:val="center"/>
        </w:trPr>
        <w:tc>
          <w:tcPr>
            <w:tcW w:w="4305" w:type="dxa"/>
          </w:tcPr>
          <w:p w:rsidR="00B75680" w:rsidRPr="003C2500" w:rsidRDefault="00B75680" w:rsidP="00714F52">
            <w:pPr>
              <w:jc w:val="both"/>
              <w:rPr>
                <w:rFonts w:ascii="Verdana" w:hAnsi="Verdana"/>
                <w:b/>
                <w:sz w:val="16"/>
                <w:szCs w:val="16"/>
              </w:rPr>
            </w:pPr>
            <w:r w:rsidRPr="003C2500">
              <w:rPr>
                <w:rFonts w:ascii="Verdana" w:hAnsi="Verdana"/>
                <w:b/>
                <w:color w:val="000000"/>
                <w:sz w:val="16"/>
                <w:szCs w:val="16"/>
              </w:rPr>
              <w:t>Percentuale sul fatturato incassato tramite POS (Iva esclusa)</w:t>
            </w:r>
          </w:p>
        </w:tc>
        <w:tc>
          <w:tcPr>
            <w:tcW w:w="1243" w:type="dxa"/>
          </w:tcPr>
          <w:p w:rsidR="00B75680" w:rsidRPr="003C2500" w:rsidRDefault="00B75680" w:rsidP="00714F52">
            <w:pPr>
              <w:jc w:val="center"/>
              <w:rPr>
                <w:rFonts w:ascii="Verdana" w:hAnsi="Verdana"/>
                <w:b/>
                <w:sz w:val="16"/>
                <w:szCs w:val="16"/>
              </w:rPr>
            </w:pPr>
            <w:r w:rsidRPr="003C2500">
              <w:rPr>
                <w:rFonts w:ascii="Verdana" w:hAnsi="Verdana"/>
                <w:b/>
                <w:sz w:val="16"/>
                <w:szCs w:val="16"/>
              </w:rPr>
              <w:t>3,12%</w:t>
            </w:r>
          </w:p>
        </w:tc>
        <w:tc>
          <w:tcPr>
            <w:tcW w:w="1076" w:type="dxa"/>
          </w:tcPr>
          <w:p w:rsidR="00B75680" w:rsidRPr="003C2500" w:rsidRDefault="00B75680" w:rsidP="00714F52">
            <w:pPr>
              <w:jc w:val="center"/>
              <w:rPr>
                <w:rFonts w:ascii="Verdana" w:hAnsi="Verdana"/>
                <w:b/>
                <w:sz w:val="16"/>
                <w:szCs w:val="16"/>
              </w:rPr>
            </w:pPr>
            <w:r w:rsidRPr="003C2500">
              <w:rPr>
                <w:rFonts w:ascii="Verdana" w:hAnsi="Verdana"/>
                <w:b/>
                <w:sz w:val="16"/>
                <w:szCs w:val="16"/>
              </w:rPr>
              <w:t>2,22%</w:t>
            </w:r>
          </w:p>
        </w:tc>
      </w:tr>
    </w:tbl>
    <w:p w:rsidR="00B75680" w:rsidRPr="003B1E92" w:rsidRDefault="00B75680" w:rsidP="00B75680">
      <w:pPr>
        <w:spacing w:after="0" w:line="240" w:lineRule="auto"/>
        <w:ind w:left="708" w:firstLine="708"/>
        <w:jc w:val="both"/>
        <w:rPr>
          <w:rFonts w:ascii="Verdana" w:hAnsi="Verdana"/>
          <w:sz w:val="14"/>
          <w:szCs w:val="14"/>
        </w:rPr>
      </w:pPr>
      <w:r>
        <w:rPr>
          <w:rFonts w:ascii="Verdana" w:hAnsi="Verdana"/>
          <w:sz w:val="12"/>
          <w:szCs w:val="12"/>
        </w:rPr>
        <w:t xml:space="preserve">  </w:t>
      </w:r>
      <w:r w:rsidRPr="003B1E92">
        <w:rPr>
          <w:rFonts w:ascii="Verdana" w:hAnsi="Verdana"/>
          <w:sz w:val="14"/>
          <w:szCs w:val="14"/>
        </w:rPr>
        <w:t>Fonte: stima Confcommercio</w:t>
      </w:r>
    </w:p>
    <w:p w:rsidR="00B75680" w:rsidRDefault="00B75680" w:rsidP="00B75680">
      <w:pPr>
        <w:spacing w:after="0" w:line="240" w:lineRule="auto"/>
        <w:jc w:val="both"/>
        <w:rPr>
          <w:rFonts w:ascii="Verdana" w:hAnsi="Verdana"/>
          <w:sz w:val="20"/>
          <w:szCs w:val="20"/>
        </w:rPr>
      </w:pPr>
    </w:p>
    <w:p w:rsidR="008D79D8" w:rsidRDefault="008D79D8" w:rsidP="00B75680">
      <w:pPr>
        <w:spacing w:after="0" w:line="240" w:lineRule="auto"/>
        <w:jc w:val="both"/>
        <w:rPr>
          <w:rFonts w:ascii="Verdana" w:hAnsi="Verdana"/>
          <w:sz w:val="20"/>
          <w:szCs w:val="20"/>
        </w:rPr>
      </w:pPr>
    </w:p>
    <w:p w:rsidR="0063551D" w:rsidRPr="0063551D" w:rsidRDefault="00F824E0" w:rsidP="003B1719">
      <w:pPr>
        <w:spacing w:after="120" w:line="240" w:lineRule="auto"/>
        <w:jc w:val="both"/>
        <w:rPr>
          <w:rFonts w:ascii="Verdana" w:hAnsi="Verdana" w:cs="Verdana"/>
          <w:b/>
          <w:sz w:val="20"/>
          <w:szCs w:val="20"/>
        </w:rPr>
      </w:pPr>
      <w:r>
        <w:rPr>
          <w:rFonts w:ascii="Verdana" w:hAnsi="Verdana" w:cs="Verdana"/>
          <w:b/>
          <w:sz w:val="20"/>
          <w:szCs w:val="20"/>
        </w:rPr>
        <w:t>QUALCHE CONFRONTO INTERNAZIONALE</w:t>
      </w:r>
    </w:p>
    <w:p w:rsidR="00DD1A30" w:rsidRDefault="00B212B0" w:rsidP="00C65667">
      <w:pPr>
        <w:spacing w:after="0" w:line="240" w:lineRule="auto"/>
        <w:jc w:val="both"/>
        <w:rPr>
          <w:rFonts w:ascii="Verdana" w:hAnsi="Verdana"/>
          <w:sz w:val="20"/>
          <w:szCs w:val="20"/>
        </w:rPr>
      </w:pPr>
      <w:r>
        <w:rPr>
          <w:rFonts w:ascii="Verdana" w:hAnsi="Verdana"/>
          <w:sz w:val="20"/>
          <w:szCs w:val="20"/>
        </w:rPr>
        <w:t>Dag</w:t>
      </w:r>
      <w:r w:rsidR="00A4764F">
        <w:rPr>
          <w:rFonts w:ascii="Verdana" w:hAnsi="Verdana"/>
          <w:sz w:val="20"/>
          <w:szCs w:val="20"/>
        </w:rPr>
        <w:t xml:space="preserve">li ultimi </w:t>
      </w:r>
      <w:r w:rsidR="00AC68F9">
        <w:rPr>
          <w:rFonts w:ascii="Verdana" w:hAnsi="Verdana"/>
          <w:sz w:val="20"/>
          <w:szCs w:val="20"/>
        </w:rPr>
        <w:t xml:space="preserve">dati ufficiali </w:t>
      </w:r>
      <w:r w:rsidR="00A4764F">
        <w:rPr>
          <w:rFonts w:ascii="Verdana" w:hAnsi="Verdana"/>
          <w:sz w:val="20"/>
          <w:szCs w:val="20"/>
        </w:rPr>
        <w:t xml:space="preserve">(riferiti al dicembre 2012) </w:t>
      </w:r>
      <w:r w:rsidR="00AC68F9">
        <w:rPr>
          <w:rFonts w:ascii="Verdana" w:hAnsi="Verdana"/>
          <w:sz w:val="20"/>
          <w:szCs w:val="20"/>
        </w:rPr>
        <w:t xml:space="preserve">della Banca dei regolamenti </w:t>
      </w:r>
      <w:r w:rsidR="008034AF">
        <w:rPr>
          <w:rFonts w:ascii="Verdana" w:hAnsi="Verdana"/>
          <w:sz w:val="20"/>
          <w:szCs w:val="20"/>
        </w:rPr>
        <w:t>i</w:t>
      </w:r>
      <w:r w:rsidR="00AC68F9">
        <w:rPr>
          <w:rFonts w:ascii="Verdana" w:hAnsi="Verdana"/>
          <w:sz w:val="20"/>
          <w:szCs w:val="20"/>
        </w:rPr>
        <w:t>nternazionali, peraltro ripresi anche nell’appendice dell</w:t>
      </w:r>
      <w:r w:rsidR="00A4764F">
        <w:rPr>
          <w:rFonts w:ascii="Verdana" w:hAnsi="Verdana"/>
          <w:sz w:val="20"/>
          <w:szCs w:val="20"/>
        </w:rPr>
        <w:t>a</w:t>
      </w:r>
      <w:r w:rsidR="00AC68F9">
        <w:rPr>
          <w:rFonts w:ascii="Verdana" w:hAnsi="Verdana"/>
          <w:sz w:val="20"/>
          <w:szCs w:val="20"/>
        </w:rPr>
        <w:t xml:space="preserve"> Relazione annuale presentata da Banca d’Italia </w:t>
      </w:r>
      <w:r w:rsidR="00A4764F">
        <w:rPr>
          <w:rFonts w:ascii="Verdana" w:hAnsi="Verdana"/>
          <w:sz w:val="20"/>
          <w:szCs w:val="20"/>
        </w:rPr>
        <w:t xml:space="preserve">il </w:t>
      </w:r>
      <w:r w:rsidR="00AC68F9">
        <w:rPr>
          <w:rFonts w:ascii="Verdana" w:hAnsi="Verdana"/>
          <w:sz w:val="20"/>
          <w:szCs w:val="20"/>
        </w:rPr>
        <w:t>31 maggio</w:t>
      </w:r>
      <w:r w:rsidR="00A4764F">
        <w:rPr>
          <w:rFonts w:ascii="Verdana" w:hAnsi="Verdana"/>
          <w:sz w:val="20"/>
          <w:szCs w:val="20"/>
        </w:rPr>
        <w:t xml:space="preserve"> </w:t>
      </w:r>
      <w:r>
        <w:rPr>
          <w:rFonts w:ascii="Verdana" w:hAnsi="Verdana"/>
          <w:sz w:val="20"/>
          <w:szCs w:val="20"/>
        </w:rPr>
        <w:t>scorso, emerge che i</w:t>
      </w:r>
      <w:r w:rsidR="00AC68F9">
        <w:rPr>
          <w:rFonts w:ascii="Verdana" w:hAnsi="Verdana"/>
          <w:sz w:val="20"/>
          <w:szCs w:val="20"/>
        </w:rPr>
        <w:t>n Italia sono istallati nei punti di vendita 1.501.600 terminali POS, contro 1.834.000 della Francia e 720.000 della Germania.</w:t>
      </w:r>
    </w:p>
    <w:p w:rsidR="003F5DC5" w:rsidRDefault="003F5DC5" w:rsidP="00C65667">
      <w:pPr>
        <w:spacing w:after="0" w:line="240" w:lineRule="auto"/>
        <w:jc w:val="both"/>
        <w:rPr>
          <w:rFonts w:ascii="Verdana" w:hAnsi="Verdana"/>
          <w:sz w:val="20"/>
          <w:szCs w:val="20"/>
        </w:rPr>
      </w:pPr>
    </w:p>
    <w:p w:rsidR="009D4817" w:rsidRDefault="009D4817" w:rsidP="00C65667">
      <w:pPr>
        <w:spacing w:after="0" w:line="240" w:lineRule="auto"/>
        <w:jc w:val="both"/>
        <w:rPr>
          <w:rFonts w:ascii="Verdana" w:hAnsi="Verdana"/>
          <w:sz w:val="20"/>
          <w:szCs w:val="20"/>
        </w:rPr>
      </w:pPr>
      <w:r>
        <w:rPr>
          <w:rFonts w:ascii="Verdana" w:hAnsi="Verdana"/>
          <w:sz w:val="20"/>
          <w:szCs w:val="20"/>
        </w:rPr>
        <w:t>Per quanto riguarda l’ammontare t</w:t>
      </w:r>
      <w:r w:rsidR="00B212B0">
        <w:rPr>
          <w:rFonts w:ascii="Verdana" w:hAnsi="Verdana"/>
          <w:sz w:val="20"/>
          <w:szCs w:val="20"/>
        </w:rPr>
        <w:t>otale in euro delle transazioni</w:t>
      </w:r>
      <w:r w:rsidR="00F824E0">
        <w:rPr>
          <w:rFonts w:ascii="Verdana" w:hAnsi="Verdana"/>
          <w:sz w:val="20"/>
          <w:szCs w:val="20"/>
        </w:rPr>
        <w:t>,</w:t>
      </w:r>
      <w:r w:rsidR="00B212B0">
        <w:rPr>
          <w:rFonts w:ascii="Verdana" w:hAnsi="Verdana"/>
          <w:sz w:val="20"/>
          <w:szCs w:val="20"/>
        </w:rPr>
        <w:t xml:space="preserve"> in Francia sono più del doppio</w:t>
      </w:r>
      <w:r w:rsidR="00F824E0">
        <w:rPr>
          <w:rFonts w:ascii="Verdana" w:hAnsi="Verdana"/>
          <w:sz w:val="20"/>
          <w:szCs w:val="20"/>
        </w:rPr>
        <w:t xml:space="preserve"> (</w:t>
      </w:r>
      <w:r w:rsidR="00190A56">
        <w:rPr>
          <w:rFonts w:ascii="Verdana" w:hAnsi="Verdana"/>
          <w:sz w:val="20"/>
          <w:szCs w:val="20"/>
        </w:rPr>
        <w:t>398 miliardi)</w:t>
      </w:r>
      <w:r w:rsidR="00B212B0">
        <w:rPr>
          <w:rFonts w:ascii="Verdana" w:hAnsi="Verdana"/>
          <w:sz w:val="20"/>
          <w:szCs w:val="20"/>
        </w:rPr>
        <w:t xml:space="preserve"> rispetto alla Germania</w:t>
      </w:r>
      <w:r w:rsidR="00F824E0">
        <w:rPr>
          <w:rFonts w:ascii="Verdana" w:hAnsi="Verdana"/>
          <w:sz w:val="20"/>
          <w:szCs w:val="20"/>
        </w:rPr>
        <w:t xml:space="preserve"> (</w:t>
      </w:r>
      <w:r w:rsidR="00190A56">
        <w:rPr>
          <w:rFonts w:ascii="Verdana" w:hAnsi="Verdana"/>
          <w:sz w:val="20"/>
          <w:szCs w:val="20"/>
        </w:rPr>
        <w:t>174 miliardi)</w:t>
      </w:r>
      <w:r w:rsidR="00F824E0">
        <w:rPr>
          <w:rFonts w:ascii="Verdana" w:hAnsi="Verdana"/>
          <w:sz w:val="20"/>
          <w:szCs w:val="20"/>
        </w:rPr>
        <w:t xml:space="preserve"> </w:t>
      </w:r>
      <w:r w:rsidR="00B212B0">
        <w:rPr>
          <w:rFonts w:ascii="Verdana" w:hAnsi="Verdana"/>
          <w:sz w:val="20"/>
          <w:szCs w:val="20"/>
        </w:rPr>
        <w:t>e all’</w:t>
      </w:r>
      <w:r w:rsidR="00F824E0">
        <w:rPr>
          <w:rFonts w:ascii="Verdana" w:hAnsi="Verdana"/>
          <w:sz w:val="20"/>
          <w:szCs w:val="20"/>
        </w:rPr>
        <w:t>Italia (</w:t>
      </w:r>
      <w:r w:rsidR="00190A56">
        <w:rPr>
          <w:rFonts w:ascii="Verdana" w:hAnsi="Verdana"/>
          <w:sz w:val="20"/>
          <w:szCs w:val="20"/>
        </w:rPr>
        <w:t>160 miliardi)</w:t>
      </w:r>
      <w:r w:rsidR="00F824E0">
        <w:rPr>
          <w:rFonts w:ascii="Verdana" w:hAnsi="Verdana"/>
          <w:sz w:val="20"/>
          <w:szCs w:val="20"/>
        </w:rPr>
        <w:t>.</w:t>
      </w:r>
    </w:p>
    <w:p w:rsidR="009D4817" w:rsidRDefault="009D4817" w:rsidP="00C65667">
      <w:pPr>
        <w:spacing w:after="0" w:line="240" w:lineRule="auto"/>
        <w:jc w:val="both"/>
        <w:rPr>
          <w:rFonts w:ascii="Verdana" w:hAnsi="Verdana"/>
          <w:sz w:val="20"/>
          <w:szCs w:val="20"/>
        </w:rPr>
      </w:pPr>
    </w:p>
    <w:p w:rsidR="006E4641" w:rsidRPr="005A7949" w:rsidRDefault="005A7949" w:rsidP="00C65667">
      <w:pPr>
        <w:spacing w:after="0" w:line="240" w:lineRule="auto"/>
        <w:jc w:val="center"/>
        <w:rPr>
          <w:rFonts w:ascii="Verdana" w:hAnsi="Verdana"/>
          <w:b/>
          <w:sz w:val="16"/>
          <w:szCs w:val="16"/>
        </w:rPr>
      </w:pPr>
      <w:r w:rsidRPr="005A7949">
        <w:rPr>
          <w:rFonts w:ascii="Verdana" w:hAnsi="Verdana"/>
          <w:b/>
          <w:sz w:val="16"/>
          <w:szCs w:val="16"/>
        </w:rPr>
        <w:t>AMMONTARE TRANSAZIONI SU POS (TOTALE ANNUO IN MILIONI DI EURO)</w:t>
      </w:r>
    </w:p>
    <w:p w:rsidR="006E4641" w:rsidRDefault="002D7ED0" w:rsidP="006E4641">
      <w:pPr>
        <w:spacing w:after="0" w:line="240" w:lineRule="auto"/>
        <w:jc w:val="center"/>
        <w:rPr>
          <w:rFonts w:ascii="Verdana" w:hAnsi="Verdana"/>
          <w:sz w:val="20"/>
          <w:szCs w:val="20"/>
        </w:rPr>
      </w:pPr>
      <w:r>
        <w:rPr>
          <w:noProof/>
        </w:rPr>
        <w:drawing>
          <wp:inline distT="0" distB="0" distL="0" distR="0" wp14:anchorId="21CF3779" wp14:editId="1E3B2A73">
            <wp:extent cx="4514850" cy="2200275"/>
            <wp:effectExtent l="0" t="0" r="19050" b="952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2B0" w:rsidRPr="003B1E92" w:rsidRDefault="003B1E92" w:rsidP="003B1E92">
      <w:pPr>
        <w:spacing w:after="0" w:line="240" w:lineRule="auto"/>
        <w:ind w:firstLine="708"/>
        <w:jc w:val="both"/>
        <w:rPr>
          <w:rFonts w:ascii="Verdana" w:hAnsi="Verdana"/>
          <w:sz w:val="14"/>
          <w:szCs w:val="14"/>
        </w:rPr>
      </w:pPr>
      <w:r>
        <w:rPr>
          <w:rFonts w:ascii="Verdana" w:hAnsi="Verdana"/>
          <w:sz w:val="14"/>
          <w:szCs w:val="14"/>
        </w:rPr>
        <w:t xml:space="preserve">           </w:t>
      </w:r>
      <w:r w:rsidR="00C65667" w:rsidRPr="003B1E92">
        <w:rPr>
          <w:rFonts w:ascii="Verdana" w:hAnsi="Verdana"/>
          <w:sz w:val="14"/>
          <w:szCs w:val="14"/>
        </w:rPr>
        <w:t>Fonte: elaborazione Confcommercio su dati della Banca dei regolamenti internazionali (dicembre 2012)</w:t>
      </w:r>
    </w:p>
    <w:p w:rsidR="00B212B0" w:rsidRDefault="00B212B0" w:rsidP="00C65667">
      <w:pPr>
        <w:spacing w:after="0" w:line="240" w:lineRule="auto"/>
        <w:jc w:val="both"/>
        <w:rPr>
          <w:rFonts w:ascii="Verdana" w:hAnsi="Verdana"/>
          <w:sz w:val="20"/>
          <w:szCs w:val="20"/>
        </w:rPr>
      </w:pPr>
    </w:p>
    <w:p w:rsidR="003B1E92" w:rsidRDefault="003B1E92" w:rsidP="00C65667">
      <w:pPr>
        <w:spacing w:after="0" w:line="240" w:lineRule="auto"/>
        <w:jc w:val="both"/>
        <w:rPr>
          <w:rFonts w:ascii="Verdana" w:hAnsi="Verdana"/>
          <w:sz w:val="20"/>
          <w:szCs w:val="20"/>
        </w:rPr>
      </w:pPr>
    </w:p>
    <w:p w:rsidR="006E4641" w:rsidRDefault="00F824E0" w:rsidP="00C65667">
      <w:pPr>
        <w:spacing w:after="0" w:line="240" w:lineRule="auto"/>
        <w:jc w:val="both"/>
        <w:rPr>
          <w:rFonts w:ascii="Verdana" w:hAnsi="Verdana"/>
          <w:sz w:val="20"/>
          <w:szCs w:val="20"/>
        </w:rPr>
      </w:pPr>
      <w:r>
        <w:rPr>
          <w:rFonts w:ascii="Verdana" w:hAnsi="Verdana"/>
          <w:sz w:val="20"/>
          <w:szCs w:val="20"/>
        </w:rPr>
        <w:t xml:space="preserve">E </w:t>
      </w:r>
      <w:r w:rsidR="009D4817">
        <w:rPr>
          <w:rFonts w:ascii="Verdana" w:hAnsi="Verdana"/>
          <w:sz w:val="20"/>
          <w:szCs w:val="20"/>
        </w:rPr>
        <w:t xml:space="preserve">per l’utilizzo dei bonifici emergono differenze </w:t>
      </w:r>
      <w:r>
        <w:rPr>
          <w:rFonts w:ascii="Verdana" w:hAnsi="Verdana"/>
          <w:sz w:val="20"/>
          <w:szCs w:val="20"/>
        </w:rPr>
        <w:t>ancora più marcate tra i tre P</w:t>
      </w:r>
      <w:r w:rsidR="009D4817">
        <w:rPr>
          <w:rFonts w:ascii="Verdana" w:hAnsi="Verdana"/>
          <w:sz w:val="20"/>
          <w:szCs w:val="20"/>
        </w:rPr>
        <w:t>aesi</w:t>
      </w:r>
      <w:r>
        <w:rPr>
          <w:rFonts w:ascii="Verdana" w:hAnsi="Verdana"/>
          <w:sz w:val="20"/>
          <w:szCs w:val="20"/>
        </w:rPr>
        <w:t xml:space="preserve"> europei considerati, anche se in questo caso è la Germania (</w:t>
      </w:r>
      <w:r w:rsidR="00190A56">
        <w:rPr>
          <w:rFonts w:ascii="Verdana" w:hAnsi="Verdana"/>
          <w:sz w:val="20"/>
          <w:szCs w:val="20"/>
        </w:rPr>
        <w:t>56.600 miliardi</w:t>
      </w:r>
      <w:r w:rsidR="00484A32">
        <w:rPr>
          <w:rFonts w:ascii="Verdana" w:hAnsi="Verdana"/>
          <w:sz w:val="20"/>
          <w:szCs w:val="20"/>
        </w:rPr>
        <w:t xml:space="preserve"> di euro</w:t>
      </w:r>
      <w:r>
        <w:rPr>
          <w:rFonts w:ascii="Verdana" w:hAnsi="Verdana"/>
          <w:sz w:val="20"/>
          <w:szCs w:val="20"/>
        </w:rPr>
        <w:t xml:space="preserve">) che supera di </w:t>
      </w:r>
      <w:r w:rsidR="00190A56">
        <w:rPr>
          <w:rFonts w:ascii="Verdana" w:hAnsi="Verdana"/>
          <w:sz w:val="20"/>
          <w:szCs w:val="20"/>
        </w:rPr>
        <w:t>oltre</w:t>
      </w:r>
      <w:r>
        <w:rPr>
          <w:rFonts w:ascii="Verdana" w:hAnsi="Verdana"/>
          <w:sz w:val="20"/>
          <w:szCs w:val="20"/>
        </w:rPr>
        <w:t xml:space="preserve"> il </w:t>
      </w:r>
      <w:r w:rsidR="00190A56">
        <w:rPr>
          <w:rFonts w:ascii="Verdana" w:hAnsi="Verdana"/>
          <w:sz w:val="20"/>
          <w:szCs w:val="20"/>
        </w:rPr>
        <w:t>doppio</w:t>
      </w:r>
      <w:r>
        <w:rPr>
          <w:rFonts w:ascii="Verdana" w:hAnsi="Verdana"/>
          <w:sz w:val="20"/>
          <w:szCs w:val="20"/>
        </w:rPr>
        <w:t xml:space="preserve"> la Francia (</w:t>
      </w:r>
      <w:r w:rsidR="00190A56">
        <w:rPr>
          <w:rFonts w:ascii="Verdana" w:hAnsi="Verdana"/>
          <w:sz w:val="20"/>
          <w:szCs w:val="20"/>
        </w:rPr>
        <w:t>24.100 miliardi</w:t>
      </w:r>
      <w:r w:rsidR="00484A32">
        <w:rPr>
          <w:rFonts w:ascii="Verdana" w:hAnsi="Verdana"/>
          <w:sz w:val="20"/>
          <w:szCs w:val="20"/>
        </w:rPr>
        <w:t xml:space="preserve"> di euro</w:t>
      </w:r>
      <w:r w:rsidR="00190A56">
        <w:rPr>
          <w:rFonts w:ascii="Verdana" w:hAnsi="Verdana"/>
          <w:sz w:val="20"/>
          <w:szCs w:val="20"/>
        </w:rPr>
        <w:t>)</w:t>
      </w:r>
      <w:r>
        <w:rPr>
          <w:rFonts w:ascii="Verdana" w:hAnsi="Verdana"/>
          <w:sz w:val="20"/>
          <w:szCs w:val="20"/>
        </w:rPr>
        <w:t xml:space="preserve"> e </w:t>
      </w:r>
      <w:r w:rsidR="00484A32">
        <w:rPr>
          <w:rFonts w:ascii="Verdana" w:hAnsi="Verdana"/>
          <w:sz w:val="20"/>
          <w:szCs w:val="20"/>
        </w:rPr>
        <w:t xml:space="preserve">di </w:t>
      </w:r>
      <w:r w:rsidR="008C1ED3">
        <w:rPr>
          <w:rFonts w:ascii="Verdana" w:hAnsi="Verdana"/>
          <w:sz w:val="20"/>
          <w:szCs w:val="20"/>
        </w:rPr>
        <w:t xml:space="preserve">circa </w:t>
      </w:r>
      <w:r w:rsidR="00190A56">
        <w:rPr>
          <w:rFonts w:ascii="Verdana" w:hAnsi="Verdana"/>
          <w:sz w:val="20"/>
          <w:szCs w:val="20"/>
        </w:rPr>
        <w:t xml:space="preserve">7 volte </w:t>
      </w:r>
      <w:r>
        <w:rPr>
          <w:rFonts w:ascii="Verdana" w:hAnsi="Verdana"/>
          <w:sz w:val="20"/>
          <w:szCs w:val="20"/>
        </w:rPr>
        <w:t>l’Italia (</w:t>
      </w:r>
      <w:r w:rsidR="00190A56">
        <w:rPr>
          <w:rFonts w:ascii="Verdana" w:hAnsi="Verdana"/>
          <w:sz w:val="20"/>
          <w:szCs w:val="20"/>
        </w:rPr>
        <w:t>7.800 miliardi</w:t>
      </w:r>
      <w:r w:rsidR="00484A32">
        <w:rPr>
          <w:rFonts w:ascii="Verdana" w:hAnsi="Verdana"/>
          <w:sz w:val="20"/>
          <w:szCs w:val="20"/>
        </w:rPr>
        <w:t xml:space="preserve"> di euro</w:t>
      </w:r>
      <w:r w:rsidR="00190A56">
        <w:rPr>
          <w:rFonts w:ascii="Verdana" w:hAnsi="Verdana"/>
          <w:sz w:val="20"/>
          <w:szCs w:val="20"/>
        </w:rPr>
        <w:t>).</w:t>
      </w:r>
    </w:p>
    <w:p w:rsidR="006E4641" w:rsidRDefault="006E4641" w:rsidP="00C65667">
      <w:pPr>
        <w:spacing w:after="0" w:line="240" w:lineRule="auto"/>
        <w:jc w:val="both"/>
        <w:rPr>
          <w:rFonts w:ascii="Verdana" w:hAnsi="Verdana"/>
          <w:sz w:val="20"/>
          <w:szCs w:val="20"/>
        </w:rPr>
      </w:pPr>
    </w:p>
    <w:p w:rsidR="003F5DC5" w:rsidRPr="005A7949" w:rsidRDefault="005A7949" w:rsidP="00C65667">
      <w:pPr>
        <w:spacing w:after="0" w:line="240" w:lineRule="auto"/>
        <w:jc w:val="center"/>
        <w:rPr>
          <w:rFonts w:ascii="Verdana" w:hAnsi="Verdana"/>
          <w:b/>
          <w:sz w:val="16"/>
          <w:szCs w:val="16"/>
        </w:rPr>
      </w:pPr>
      <w:r w:rsidRPr="005A7949">
        <w:rPr>
          <w:rFonts w:ascii="Verdana" w:hAnsi="Verdana"/>
          <w:b/>
          <w:sz w:val="16"/>
          <w:szCs w:val="16"/>
        </w:rPr>
        <w:t>AMMONTARE TRANSAZIONI CON BONIFICI (TOTALE ANNUO IN MILIONI DI EURO)</w:t>
      </w:r>
    </w:p>
    <w:p w:rsidR="00770B49" w:rsidRDefault="006E4641" w:rsidP="003F5DC5">
      <w:pPr>
        <w:spacing w:after="0" w:line="240" w:lineRule="auto"/>
        <w:jc w:val="center"/>
        <w:rPr>
          <w:rFonts w:ascii="Verdana" w:hAnsi="Verdana"/>
          <w:sz w:val="20"/>
          <w:szCs w:val="20"/>
        </w:rPr>
      </w:pPr>
      <w:r>
        <w:rPr>
          <w:noProof/>
        </w:rPr>
        <w:drawing>
          <wp:inline distT="0" distB="0" distL="0" distR="0" wp14:anchorId="75BA1CA6" wp14:editId="7FEA0A7B">
            <wp:extent cx="4905375" cy="1895475"/>
            <wp:effectExtent l="0" t="0" r="9525"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5667" w:rsidRPr="003B1E92" w:rsidRDefault="003B1E92" w:rsidP="003B1E92">
      <w:pPr>
        <w:spacing w:after="0" w:line="240" w:lineRule="auto"/>
        <w:ind w:firstLine="708"/>
        <w:jc w:val="both"/>
        <w:rPr>
          <w:rFonts w:ascii="Verdana" w:hAnsi="Verdana"/>
          <w:sz w:val="14"/>
          <w:szCs w:val="14"/>
        </w:rPr>
      </w:pPr>
      <w:r>
        <w:rPr>
          <w:rFonts w:ascii="Verdana" w:hAnsi="Verdana"/>
          <w:sz w:val="14"/>
          <w:szCs w:val="14"/>
        </w:rPr>
        <w:t xml:space="preserve">     </w:t>
      </w:r>
      <w:r w:rsidR="00C65667" w:rsidRPr="003B1E92">
        <w:rPr>
          <w:rFonts w:ascii="Verdana" w:hAnsi="Verdana"/>
          <w:sz w:val="14"/>
          <w:szCs w:val="14"/>
        </w:rPr>
        <w:t>Fonte: elaborazione Confcommercio su dati della Banca dei regolamenti internazionali (dicembre 2012)</w:t>
      </w:r>
    </w:p>
    <w:p w:rsidR="00F824E0" w:rsidRPr="00F824E0" w:rsidRDefault="00F824E0" w:rsidP="00C65667">
      <w:pPr>
        <w:spacing w:after="0" w:line="240" w:lineRule="auto"/>
        <w:ind w:left="1843" w:right="1133" w:hanging="709"/>
        <w:jc w:val="both"/>
        <w:rPr>
          <w:rFonts w:ascii="Verdana" w:hAnsi="Verdana"/>
          <w:sz w:val="16"/>
          <w:szCs w:val="16"/>
        </w:rPr>
      </w:pPr>
    </w:p>
    <w:p w:rsidR="003B1E92" w:rsidRDefault="003B1E92" w:rsidP="00F42346">
      <w:pPr>
        <w:spacing w:after="0" w:line="240" w:lineRule="auto"/>
        <w:jc w:val="both"/>
        <w:rPr>
          <w:rFonts w:ascii="Verdana" w:hAnsi="Verdana"/>
          <w:sz w:val="20"/>
          <w:szCs w:val="20"/>
        </w:rPr>
      </w:pPr>
    </w:p>
    <w:p w:rsidR="00F824E0" w:rsidRDefault="00F824E0" w:rsidP="00F42346">
      <w:pPr>
        <w:spacing w:after="0" w:line="240" w:lineRule="auto"/>
        <w:jc w:val="both"/>
        <w:rPr>
          <w:rFonts w:ascii="Verdana" w:hAnsi="Verdana"/>
          <w:sz w:val="20"/>
          <w:szCs w:val="20"/>
        </w:rPr>
      </w:pPr>
      <w:r>
        <w:rPr>
          <w:rFonts w:ascii="Verdana" w:hAnsi="Verdana"/>
          <w:sz w:val="20"/>
          <w:szCs w:val="20"/>
        </w:rPr>
        <w:t>A</w:t>
      </w:r>
      <w:r w:rsidR="00EB685F">
        <w:rPr>
          <w:rFonts w:ascii="Verdana" w:hAnsi="Verdana"/>
          <w:sz w:val="20"/>
          <w:szCs w:val="20"/>
        </w:rPr>
        <w:t>nche in materia di addebiti diretti (</w:t>
      </w:r>
      <w:r w:rsidR="00785D29">
        <w:rPr>
          <w:rFonts w:ascii="Verdana" w:hAnsi="Verdana"/>
          <w:sz w:val="20"/>
          <w:szCs w:val="20"/>
        </w:rPr>
        <w:t xml:space="preserve">ex </w:t>
      </w:r>
      <w:proofErr w:type="spellStart"/>
      <w:r w:rsidR="00EB685F">
        <w:rPr>
          <w:rFonts w:ascii="Verdana" w:hAnsi="Verdana"/>
          <w:sz w:val="20"/>
          <w:szCs w:val="20"/>
        </w:rPr>
        <w:t>rid</w:t>
      </w:r>
      <w:proofErr w:type="spellEnd"/>
      <w:r w:rsidR="00EB685F">
        <w:rPr>
          <w:rFonts w:ascii="Verdana" w:hAnsi="Verdana"/>
          <w:sz w:val="20"/>
          <w:szCs w:val="20"/>
        </w:rPr>
        <w:t>)</w:t>
      </w:r>
      <w:r w:rsidR="00F448CD">
        <w:rPr>
          <w:rFonts w:ascii="Verdana" w:hAnsi="Verdana"/>
          <w:sz w:val="20"/>
          <w:szCs w:val="20"/>
        </w:rPr>
        <w:t xml:space="preserve"> emerge una significativa minore diffusione</w:t>
      </w:r>
      <w:r w:rsidR="00EB685F">
        <w:rPr>
          <w:rFonts w:ascii="Verdana" w:hAnsi="Verdana"/>
          <w:sz w:val="20"/>
          <w:szCs w:val="20"/>
        </w:rPr>
        <w:t xml:space="preserve"> </w:t>
      </w:r>
      <w:r w:rsidR="00F448CD">
        <w:rPr>
          <w:rFonts w:ascii="Verdana" w:hAnsi="Verdana"/>
          <w:sz w:val="20"/>
          <w:szCs w:val="20"/>
        </w:rPr>
        <w:t>n</w:t>
      </w:r>
      <w:r>
        <w:rPr>
          <w:rFonts w:ascii="Verdana" w:hAnsi="Verdana"/>
          <w:sz w:val="20"/>
          <w:szCs w:val="20"/>
        </w:rPr>
        <w:t>el nostro Paese.</w:t>
      </w:r>
    </w:p>
    <w:p w:rsidR="00F824E0" w:rsidRDefault="00F824E0" w:rsidP="00F42346">
      <w:pPr>
        <w:spacing w:after="0" w:line="240" w:lineRule="auto"/>
        <w:jc w:val="both"/>
        <w:rPr>
          <w:rFonts w:ascii="Verdana" w:hAnsi="Verdana"/>
          <w:sz w:val="20"/>
          <w:szCs w:val="20"/>
        </w:rPr>
      </w:pPr>
    </w:p>
    <w:p w:rsidR="003F5DC5" w:rsidRDefault="00F824E0" w:rsidP="00F42346">
      <w:pPr>
        <w:spacing w:after="0" w:line="240" w:lineRule="auto"/>
        <w:jc w:val="both"/>
        <w:rPr>
          <w:rFonts w:ascii="Verdana" w:hAnsi="Verdana"/>
          <w:sz w:val="20"/>
          <w:szCs w:val="20"/>
        </w:rPr>
      </w:pPr>
      <w:r>
        <w:rPr>
          <w:rFonts w:ascii="Verdana" w:hAnsi="Verdana"/>
          <w:sz w:val="20"/>
          <w:szCs w:val="20"/>
        </w:rPr>
        <w:t>I</w:t>
      </w:r>
      <w:r w:rsidR="00A4764F">
        <w:rPr>
          <w:rFonts w:ascii="Verdana" w:hAnsi="Verdana"/>
          <w:sz w:val="20"/>
          <w:szCs w:val="20"/>
        </w:rPr>
        <w:t xml:space="preserve">l tema di una </w:t>
      </w:r>
      <w:r w:rsidR="00F448CD">
        <w:rPr>
          <w:rFonts w:ascii="Verdana" w:hAnsi="Verdana"/>
          <w:sz w:val="20"/>
          <w:szCs w:val="20"/>
        </w:rPr>
        <w:t>più ampia</w:t>
      </w:r>
      <w:r w:rsidR="00A4764F">
        <w:rPr>
          <w:rFonts w:ascii="Verdana" w:hAnsi="Verdana"/>
          <w:sz w:val="20"/>
          <w:szCs w:val="20"/>
        </w:rPr>
        <w:t xml:space="preserve"> diffusione della moneta elettronica va</w:t>
      </w:r>
      <w:r>
        <w:rPr>
          <w:rFonts w:ascii="Verdana" w:hAnsi="Verdana"/>
          <w:sz w:val="20"/>
          <w:szCs w:val="20"/>
        </w:rPr>
        <w:t>, pertanto,</w:t>
      </w:r>
      <w:r w:rsidR="00A4764F">
        <w:rPr>
          <w:rFonts w:ascii="Verdana" w:hAnsi="Verdana"/>
          <w:sz w:val="20"/>
          <w:szCs w:val="20"/>
        </w:rPr>
        <w:t xml:space="preserve"> </w:t>
      </w:r>
      <w:r w:rsidR="00EB685F">
        <w:rPr>
          <w:rFonts w:ascii="Verdana" w:hAnsi="Verdana"/>
          <w:sz w:val="20"/>
          <w:szCs w:val="20"/>
        </w:rPr>
        <w:t>ripensato</w:t>
      </w:r>
      <w:r w:rsidR="00A4764F">
        <w:rPr>
          <w:rFonts w:ascii="Verdana" w:hAnsi="Verdana"/>
          <w:sz w:val="20"/>
          <w:szCs w:val="20"/>
        </w:rPr>
        <w:t xml:space="preserve"> in termini </w:t>
      </w:r>
      <w:r w:rsidR="00785D29">
        <w:rPr>
          <w:rFonts w:ascii="Verdana" w:hAnsi="Verdana"/>
          <w:sz w:val="20"/>
          <w:szCs w:val="20"/>
        </w:rPr>
        <w:t xml:space="preserve">ben </w:t>
      </w:r>
      <w:r w:rsidR="00A4764F">
        <w:rPr>
          <w:rFonts w:ascii="Verdana" w:hAnsi="Verdana"/>
          <w:sz w:val="20"/>
          <w:szCs w:val="20"/>
        </w:rPr>
        <w:t xml:space="preserve">più ampi e non </w:t>
      </w:r>
      <w:r>
        <w:rPr>
          <w:rFonts w:ascii="Verdana" w:hAnsi="Verdana"/>
          <w:sz w:val="20"/>
          <w:szCs w:val="20"/>
        </w:rPr>
        <w:t>può</w:t>
      </w:r>
      <w:r w:rsidR="00A4764F">
        <w:rPr>
          <w:rFonts w:ascii="Verdana" w:hAnsi="Verdana"/>
          <w:sz w:val="20"/>
          <w:szCs w:val="20"/>
        </w:rPr>
        <w:t xml:space="preserve"> essere circoscritto ai pagamenti tramite cart</w:t>
      </w:r>
      <w:r w:rsidR="00A41A29">
        <w:rPr>
          <w:rFonts w:ascii="Verdana" w:hAnsi="Verdana"/>
          <w:sz w:val="20"/>
          <w:szCs w:val="20"/>
        </w:rPr>
        <w:t>e di plastica</w:t>
      </w:r>
      <w:r w:rsidR="00EB685F">
        <w:rPr>
          <w:rFonts w:ascii="Verdana" w:hAnsi="Verdana"/>
          <w:sz w:val="20"/>
          <w:szCs w:val="20"/>
        </w:rPr>
        <w:t xml:space="preserve"> introducendo</w:t>
      </w:r>
      <w:r w:rsidR="002D7ED0">
        <w:rPr>
          <w:rFonts w:ascii="Verdana" w:hAnsi="Verdana"/>
          <w:sz w:val="20"/>
          <w:szCs w:val="20"/>
        </w:rPr>
        <w:t>,</w:t>
      </w:r>
      <w:r w:rsidR="00EB685F">
        <w:rPr>
          <w:rFonts w:ascii="Verdana" w:hAnsi="Verdana"/>
          <w:sz w:val="20"/>
          <w:szCs w:val="20"/>
        </w:rPr>
        <w:t xml:space="preserve"> </w:t>
      </w:r>
      <w:r w:rsidR="00BD2805">
        <w:rPr>
          <w:rFonts w:ascii="Verdana" w:hAnsi="Verdana"/>
          <w:sz w:val="20"/>
          <w:szCs w:val="20"/>
        </w:rPr>
        <w:t>di fatto</w:t>
      </w:r>
      <w:r w:rsidR="002D7ED0">
        <w:rPr>
          <w:rFonts w:ascii="Verdana" w:hAnsi="Verdana"/>
          <w:sz w:val="20"/>
          <w:szCs w:val="20"/>
        </w:rPr>
        <w:t>,</w:t>
      </w:r>
      <w:r w:rsidR="00BD2805">
        <w:rPr>
          <w:rFonts w:ascii="Verdana" w:hAnsi="Verdana"/>
          <w:sz w:val="20"/>
          <w:szCs w:val="20"/>
        </w:rPr>
        <w:t xml:space="preserve"> </w:t>
      </w:r>
      <w:r w:rsidR="00EB685F">
        <w:rPr>
          <w:rFonts w:ascii="Verdana" w:hAnsi="Verdana"/>
          <w:sz w:val="20"/>
          <w:szCs w:val="20"/>
        </w:rPr>
        <w:t>nuovi oneri a carico di soggetti dotati di minore potere contrattuale nei confronti del sistema bancario</w:t>
      </w:r>
      <w:r w:rsidR="00A41A29">
        <w:rPr>
          <w:rFonts w:ascii="Verdana" w:hAnsi="Verdana"/>
          <w:sz w:val="20"/>
          <w:szCs w:val="20"/>
        </w:rPr>
        <w:t>.</w:t>
      </w:r>
    </w:p>
    <w:p w:rsidR="001F284D" w:rsidRDefault="001F284D" w:rsidP="00F42346">
      <w:pPr>
        <w:spacing w:after="0" w:line="240" w:lineRule="auto"/>
        <w:jc w:val="both"/>
        <w:rPr>
          <w:rFonts w:ascii="Verdana" w:hAnsi="Verdana"/>
          <w:sz w:val="20"/>
          <w:szCs w:val="20"/>
        </w:rPr>
      </w:pPr>
    </w:p>
    <w:p w:rsidR="003B1E92" w:rsidRDefault="003B1E92" w:rsidP="00F42346">
      <w:pPr>
        <w:spacing w:after="0" w:line="240" w:lineRule="auto"/>
        <w:jc w:val="both"/>
        <w:rPr>
          <w:rFonts w:ascii="Verdana" w:hAnsi="Verdana"/>
          <w:sz w:val="20"/>
          <w:szCs w:val="20"/>
        </w:rPr>
      </w:pPr>
    </w:p>
    <w:p w:rsidR="00875D5B" w:rsidRPr="00875D5B" w:rsidRDefault="00875D5B" w:rsidP="00875D5B">
      <w:pPr>
        <w:spacing w:after="0" w:line="240" w:lineRule="auto"/>
        <w:jc w:val="both"/>
        <w:rPr>
          <w:rFonts w:ascii="Verdana" w:hAnsi="Verdana"/>
          <w:sz w:val="20"/>
          <w:szCs w:val="20"/>
        </w:rPr>
      </w:pPr>
      <w:bookmarkStart w:id="0" w:name="_GoBack"/>
      <w:bookmarkEnd w:id="0"/>
    </w:p>
    <w:p w:rsidR="00875D5B" w:rsidRPr="00875D5B" w:rsidRDefault="00875D5B" w:rsidP="00875D5B">
      <w:pPr>
        <w:spacing w:after="0" w:line="240" w:lineRule="auto"/>
        <w:rPr>
          <w:rFonts w:ascii="Verdana" w:hAnsi="Verdana"/>
          <w:sz w:val="20"/>
          <w:szCs w:val="20"/>
        </w:rPr>
      </w:pPr>
    </w:p>
    <w:p w:rsidR="00875D5B" w:rsidRPr="00875D5B" w:rsidRDefault="00875D5B" w:rsidP="00875D5B">
      <w:pPr>
        <w:spacing w:after="0" w:line="240" w:lineRule="auto"/>
        <w:rPr>
          <w:rFonts w:ascii="Verdana" w:hAnsi="Verdana"/>
          <w:sz w:val="20"/>
          <w:szCs w:val="20"/>
        </w:rPr>
      </w:pPr>
    </w:p>
    <w:p w:rsidR="00695ADC" w:rsidRPr="00946B51" w:rsidRDefault="00695ADC" w:rsidP="00F42346">
      <w:pPr>
        <w:spacing w:after="0" w:line="240" w:lineRule="auto"/>
        <w:jc w:val="both"/>
        <w:rPr>
          <w:rFonts w:ascii="Verdana" w:hAnsi="Verdana"/>
          <w:sz w:val="20"/>
          <w:szCs w:val="20"/>
        </w:rPr>
      </w:pPr>
    </w:p>
    <w:sectPr w:rsidR="00695ADC" w:rsidRPr="00946B51" w:rsidSect="00D102BE">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D2" w:rsidRDefault="008C30D2" w:rsidP="00D102BE">
      <w:pPr>
        <w:spacing w:after="0" w:line="240" w:lineRule="auto"/>
      </w:pPr>
      <w:r>
        <w:separator/>
      </w:r>
    </w:p>
  </w:endnote>
  <w:endnote w:type="continuationSeparator" w:id="0">
    <w:p w:rsidR="008C30D2" w:rsidRDefault="008C30D2" w:rsidP="00D1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89114"/>
      <w:docPartObj>
        <w:docPartGallery w:val="Page Numbers (Bottom of Page)"/>
        <w:docPartUnique/>
      </w:docPartObj>
    </w:sdtPr>
    <w:sdtEndPr/>
    <w:sdtContent>
      <w:p w:rsidR="00D102BE" w:rsidRDefault="00D102BE">
        <w:pPr>
          <w:pStyle w:val="Pidipagina"/>
          <w:jc w:val="right"/>
        </w:pPr>
        <w:r>
          <w:fldChar w:fldCharType="begin"/>
        </w:r>
        <w:r>
          <w:instrText>PAGE   \* MERGEFORMAT</w:instrText>
        </w:r>
        <w:r>
          <w:fldChar w:fldCharType="separate"/>
        </w:r>
        <w:r w:rsidR="00F76415">
          <w:rPr>
            <w:noProof/>
          </w:rPr>
          <w:t>2</w:t>
        </w:r>
        <w:r>
          <w:fldChar w:fldCharType="end"/>
        </w:r>
      </w:p>
    </w:sdtContent>
  </w:sdt>
  <w:p w:rsidR="00D102BE" w:rsidRDefault="00D102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D2" w:rsidRDefault="008C30D2" w:rsidP="00D102BE">
      <w:pPr>
        <w:spacing w:after="0" w:line="240" w:lineRule="auto"/>
      </w:pPr>
      <w:r>
        <w:separator/>
      </w:r>
    </w:p>
  </w:footnote>
  <w:footnote w:type="continuationSeparator" w:id="0">
    <w:p w:rsidR="008C30D2" w:rsidRDefault="008C30D2" w:rsidP="00D1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CFA"/>
    <w:multiLevelType w:val="hybridMultilevel"/>
    <w:tmpl w:val="82DCD99E"/>
    <w:lvl w:ilvl="0" w:tplc="A9F0001E">
      <w:numFmt w:val="bullet"/>
      <w:lvlText w:val="-"/>
      <w:lvlJc w:val="left"/>
      <w:pPr>
        <w:tabs>
          <w:tab w:val="num" w:pos="644"/>
        </w:tabs>
        <w:ind w:left="644" w:hanging="360"/>
      </w:pPr>
      <w:rPr>
        <w:rFonts w:ascii="Verdana" w:eastAsia="Times New Roman" w:hAnsi="Verdana" w:hint="default"/>
      </w:rPr>
    </w:lvl>
    <w:lvl w:ilvl="1" w:tplc="04100019">
      <w:start w:val="1"/>
      <w:numFmt w:val="lowerLetter"/>
      <w:lvlText w:val="%2."/>
      <w:lvlJc w:val="left"/>
      <w:pPr>
        <w:tabs>
          <w:tab w:val="num" w:pos="1364"/>
        </w:tabs>
        <w:ind w:left="1364" w:hanging="360"/>
      </w:pPr>
      <w:rPr>
        <w:rFonts w:ascii="Times New Roman" w:hAnsi="Times New Roman" w:cs="Times New Roman"/>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1">
    <w:nsid w:val="27B50001"/>
    <w:multiLevelType w:val="hybridMultilevel"/>
    <w:tmpl w:val="9C38B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372D7F"/>
    <w:multiLevelType w:val="hybridMultilevel"/>
    <w:tmpl w:val="6ED41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BE716E"/>
    <w:multiLevelType w:val="hybridMultilevel"/>
    <w:tmpl w:val="A548371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475554CF"/>
    <w:multiLevelType w:val="hybridMultilevel"/>
    <w:tmpl w:val="C50E4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947E72"/>
    <w:multiLevelType w:val="hybridMultilevel"/>
    <w:tmpl w:val="7B9697A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6C166FC"/>
    <w:multiLevelType w:val="hybridMultilevel"/>
    <w:tmpl w:val="31444DD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64887AB0"/>
    <w:multiLevelType w:val="hybridMultilevel"/>
    <w:tmpl w:val="E5A8DB1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C45980"/>
    <w:multiLevelType w:val="hybridMultilevel"/>
    <w:tmpl w:val="9D52D7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D1"/>
    <w:rsid w:val="000A1256"/>
    <w:rsid w:val="000A47C6"/>
    <w:rsid w:val="001029D2"/>
    <w:rsid w:val="0010343E"/>
    <w:rsid w:val="00117A4C"/>
    <w:rsid w:val="00187892"/>
    <w:rsid w:val="00190A56"/>
    <w:rsid w:val="00191AA5"/>
    <w:rsid w:val="001A3844"/>
    <w:rsid w:val="001B2FC8"/>
    <w:rsid w:val="001C579C"/>
    <w:rsid w:val="001C7190"/>
    <w:rsid w:val="001E003F"/>
    <w:rsid w:val="001E0624"/>
    <w:rsid w:val="001F284D"/>
    <w:rsid w:val="00245AAF"/>
    <w:rsid w:val="002D7ED0"/>
    <w:rsid w:val="002E7792"/>
    <w:rsid w:val="00320F53"/>
    <w:rsid w:val="00331B23"/>
    <w:rsid w:val="00356E7D"/>
    <w:rsid w:val="003B1719"/>
    <w:rsid w:val="003B1E92"/>
    <w:rsid w:val="003B7C5C"/>
    <w:rsid w:val="003C2500"/>
    <w:rsid w:val="003E0915"/>
    <w:rsid w:val="003E5730"/>
    <w:rsid w:val="003F5DC5"/>
    <w:rsid w:val="00484A32"/>
    <w:rsid w:val="004A15F7"/>
    <w:rsid w:val="0050246F"/>
    <w:rsid w:val="00527686"/>
    <w:rsid w:val="00555990"/>
    <w:rsid w:val="005568F9"/>
    <w:rsid w:val="00572758"/>
    <w:rsid w:val="0057711B"/>
    <w:rsid w:val="005A7949"/>
    <w:rsid w:val="005B09DE"/>
    <w:rsid w:val="005D1A18"/>
    <w:rsid w:val="006332D5"/>
    <w:rsid w:val="0063551D"/>
    <w:rsid w:val="00657097"/>
    <w:rsid w:val="006603DA"/>
    <w:rsid w:val="0066455A"/>
    <w:rsid w:val="006848D1"/>
    <w:rsid w:val="00685DF2"/>
    <w:rsid w:val="00695ADC"/>
    <w:rsid w:val="006E4641"/>
    <w:rsid w:val="007700B4"/>
    <w:rsid w:val="00770B49"/>
    <w:rsid w:val="00785D29"/>
    <w:rsid w:val="007B3B66"/>
    <w:rsid w:val="007D5F8F"/>
    <w:rsid w:val="008034AF"/>
    <w:rsid w:val="00831516"/>
    <w:rsid w:val="00857CC3"/>
    <w:rsid w:val="008669A3"/>
    <w:rsid w:val="00875D5B"/>
    <w:rsid w:val="0088159F"/>
    <w:rsid w:val="00886457"/>
    <w:rsid w:val="008C1ED3"/>
    <w:rsid w:val="008C30D2"/>
    <w:rsid w:val="008C7A9A"/>
    <w:rsid w:val="008D79D8"/>
    <w:rsid w:val="008E1DAF"/>
    <w:rsid w:val="00926EDF"/>
    <w:rsid w:val="00946B51"/>
    <w:rsid w:val="0097198C"/>
    <w:rsid w:val="009D1256"/>
    <w:rsid w:val="009D4817"/>
    <w:rsid w:val="00A41A29"/>
    <w:rsid w:val="00A4213E"/>
    <w:rsid w:val="00A4764F"/>
    <w:rsid w:val="00A612C4"/>
    <w:rsid w:val="00A64C02"/>
    <w:rsid w:val="00A755F8"/>
    <w:rsid w:val="00A843A8"/>
    <w:rsid w:val="00A9705E"/>
    <w:rsid w:val="00AC68F9"/>
    <w:rsid w:val="00AE7866"/>
    <w:rsid w:val="00B212B0"/>
    <w:rsid w:val="00B75680"/>
    <w:rsid w:val="00BB7BF2"/>
    <w:rsid w:val="00BC0D48"/>
    <w:rsid w:val="00BD2805"/>
    <w:rsid w:val="00BD34D9"/>
    <w:rsid w:val="00BD3672"/>
    <w:rsid w:val="00C14C42"/>
    <w:rsid w:val="00C65667"/>
    <w:rsid w:val="00D06654"/>
    <w:rsid w:val="00D102BE"/>
    <w:rsid w:val="00D41551"/>
    <w:rsid w:val="00D43E47"/>
    <w:rsid w:val="00D457C1"/>
    <w:rsid w:val="00DD1A30"/>
    <w:rsid w:val="00DD6007"/>
    <w:rsid w:val="00E44E88"/>
    <w:rsid w:val="00E50D26"/>
    <w:rsid w:val="00E64D60"/>
    <w:rsid w:val="00E71D9F"/>
    <w:rsid w:val="00EB685F"/>
    <w:rsid w:val="00ED77DE"/>
    <w:rsid w:val="00F42346"/>
    <w:rsid w:val="00F448CD"/>
    <w:rsid w:val="00F76415"/>
    <w:rsid w:val="00F77671"/>
    <w:rsid w:val="00F824E0"/>
    <w:rsid w:val="00FF3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91AA5"/>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semiHidden/>
    <w:rsid w:val="00191AA5"/>
    <w:rPr>
      <w:rFonts w:ascii="Times New Roman" w:eastAsia="Times New Roman" w:hAnsi="Times New Roman" w:cs="Times New Roman"/>
      <w:sz w:val="24"/>
      <w:szCs w:val="24"/>
    </w:rPr>
  </w:style>
  <w:style w:type="paragraph" w:styleId="Paragrafoelenco">
    <w:name w:val="List Paragraph"/>
    <w:basedOn w:val="Normale"/>
    <w:uiPriority w:val="34"/>
    <w:qFormat/>
    <w:rsid w:val="0063551D"/>
    <w:pPr>
      <w:ind w:left="720"/>
      <w:contextualSpacing/>
    </w:pPr>
  </w:style>
  <w:style w:type="paragraph" w:styleId="Testofumetto">
    <w:name w:val="Balloon Text"/>
    <w:basedOn w:val="Normale"/>
    <w:link w:val="TestofumettoCarattere"/>
    <w:uiPriority w:val="99"/>
    <w:semiHidden/>
    <w:unhideWhenUsed/>
    <w:rsid w:val="003F5D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DC5"/>
    <w:rPr>
      <w:rFonts w:ascii="Tahoma" w:hAnsi="Tahoma" w:cs="Tahoma"/>
      <w:sz w:val="16"/>
      <w:szCs w:val="16"/>
    </w:rPr>
  </w:style>
  <w:style w:type="table" w:styleId="Grigliatabella">
    <w:name w:val="Table Grid"/>
    <w:basedOn w:val="Tabellanormale"/>
    <w:uiPriority w:val="59"/>
    <w:rsid w:val="0057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e"/>
    <w:rsid w:val="003B1E92"/>
    <w:pPr>
      <w:spacing w:before="100" w:beforeAutospacing="1" w:after="100" w:afterAutospacing="1" w:line="240" w:lineRule="auto"/>
      <w:jc w:val="center"/>
    </w:pPr>
    <w:rPr>
      <w:rFonts w:ascii="Verdana" w:eastAsia="Arial Unicode MS" w:hAnsi="Verdana" w:cs="Arial Unicode MS"/>
      <w:sz w:val="16"/>
      <w:szCs w:val="16"/>
    </w:rPr>
  </w:style>
  <w:style w:type="paragraph" w:styleId="Intestazione">
    <w:name w:val="header"/>
    <w:basedOn w:val="Normale"/>
    <w:link w:val="IntestazioneCarattere"/>
    <w:uiPriority w:val="99"/>
    <w:unhideWhenUsed/>
    <w:rsid w:val="00D10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2BE"/>
  </w:style>
  <w:style w:type="paragraph" w:styleId="Pidipagina">
    <w:name w:val="footer"/>
    <w:basedOn w:val="Normale"/>
    <w:link w:val="PidipaginaCarattere"/>
    <w:uiPriority w:val="99"/>
    <w:unhideWhenUsed/>
    <w:rsid w:val="00D10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2BE"/>
  </w:style>
  <w:style w:type="paragraph" w:styleId="Corpodeltesto3">
    <w:name w:val="Body Text 3"/>
    <w:basedOn w:val="Normale"/>
    <w:link w:val="Corpodeltesto3Carattere"/>
    <w:uiPriority w:val="99"/>
    <w:semiHidden/>
    <w:unhideWhenUsed/>
    <w:rsid w:val="00D102B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102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91AA5"/>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semiHidden/>
    <w:rsid w:val="00191AA5"/>
    <w:rPr>
      <w:rFonts w:ascii="Times New Roman" w:eastAsia="Times New Roman" w:hAnsi="Times New Roman" w:cs="Times New Roman"/>
      <w:sz w:val="24"/>
      <w:szCs w:val="24"/>
    </w:rPr>
  </w:style>
  <w:style w:type="paragraph" w:styleId="Paragrafoelenco">
    <w:name w:val="List Paragraph"/>
    <w:basedOn w:val="Normale"/>
    <w:uiPriority w:val="34"/>
    <w:qFormat/>
    <w:rsid w:val="0063551D"/>
    <w:pPr>
      <w:ind w:left="720"/>
      <w:contextualSpacing/>
    </w:pPr>
  </w:style>
  <w:style w:type="paragraph" w:styleId="Testofumetto">
    <w:name w:val="Balloon Text"/>
    <w:basedOn w:val="Normale"/>
    <w:link w:val="TestofumettoCarattere"/>
    <w:uiPriority w:val="99"/>
    <w:semiHidden/>
    <w:unhideWhenUsed/>
    <w:rsid w:val="003F5D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DC5"/>
    <w:rPr>
      <w:rFonts w:ascii="Tahoma" w:hAnsi="Tahoma" w:cs="Tahoma"/>
      <w:sz w:val="16"/>
      <w:szCs w:val="16"/>
    </w:rPr>
  </w:style>
  <w:style w:type="table" w:styleId="Grigliatabella">
    <w:name w:val="Table Grid"/>
    <w:basedOn w:val="Tabellanormale"/>
    <w:uiPriority w:val="59"/>
    <w:rsid w:val="0057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e"/>
    <w:rsid w:val="003B1E92"/>
    <w:pPr>
      <w:spacing w:before="100" w:beforeAutospacing="1" w:after="100" w:afterAutospacing="1" w:line="240" w:lineRule="auto"/>
      <w:jc w:val="center"/>
    </w:pPr>
    <w:rPr>
      <w:rFonts w:ascii="Verdana" w:eastAsia="Arial Unicode MS" w:hAnsi="Verdana" w:cs="Arial Unicode MS"/>
      <w:sz w:val="16"/>
      <w:szCs w:val="16"/>
    </w:rPr>
  </w:style>
  <w:style w:type="paragraph" w:styleId="Intestazione">
    <w:name w:val="header"/>
    <w:basedOn w:val="Normale"/>
    <w:link w:val="IntestazioneCarattere"/>
    <w:uiPriority w:val="99"/>
    <w:unhideWhenUsed/>
    <w:rsid w:val="00D102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2BE"/>
  </w:style>
  <w:style w:type="paragraph" w:styleId="Pidipagina">
    <w:name w:val="footer"/>
    <w:basedOn w:val="Normale"/>
    <w:link w:val="PidipaginaCarattere"/>
    <w:uiPriority w:val="99"/>
    <w:unhideWhenUsed/>
    <w:rsid w:val="00D102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2BE"/>
  </w:style>
  <w:style w:type="paragraph" w:styleId="Corpodeltesto3">
    <w:name w:val="Body Text 3"/>
    <w:basedOn w:val="Normale"/>
    <w:link w:val="Corpodeltesto3Carattere"/>
    <w:uiPriority w:val="99"/>
    <w:semiHidden/>
    <w:unhideWhenUsed/>
    <w:rsid w:val="00D102B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102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548">
      <w:bodyDiv w:val="1"/>
      <w:marLeft w:val="0"/>
      <w:marRight w:val="0"/>
      <w:marTop w:val="0"/>
      <w:marBottom w:val="0"/>
      <w:divBdr>
        <w:top w:val="none" w:sz="0" w:space="0" w:color="auto"/>
        <w:left w:val="none" w:sz="0" w:space="0" w:color="auto"/>
        <w:bottom w:val="none" w:sz="0" w:space="0" w:color="auto"/>
        <w:right w:val="none" w:sz="0" w:space="0" w:color="auto"/>
      </w:divBdr>
    </w:div>
    <w:div w:id="136384587">
      <w:bodyDiv w:val="1"/>
      <w:marLeft w:val="0"/>
      <w:marRight w:val="0"/>
      <w:marTop w:val="0"/>
      <w:marBottom w:val="0"/>
      <w:divBdr>
        <w:top w:val="none" w:sz="0" w:space="0" w:color="auto"/>
        <w:left w:val="none" w:sz="0" w:space="0" w:color="auto"/>
        <w:bottom w:val="none" w:sz="0" w:space="0" w:color="auto"/>
        <w:right w:val="none" w:sz="0" w:space="0" w:color="auto"/>
      </w:divBdr>
    </w:div>
    <w:div w:id="196507844">
      <w:bodyDiv w:val="1"/>
      <w:marLeft w:val="0"/>
      <w:marRight w:val="0"/>
      <w:marTop w:val="0"/>
      <w:marBottom w:val="0"/>
      <w:divBdr>
        <w:top w:val="none" w:sz="0" w:space="0" w:color="auto"/>
        <w:left w:val="none" w:sz="0" w:space="0" w:color="auto"/>
        <w:bottom w:val="none" w:sz="0" w:space="0" w:color="auto"/>
        <w:right w:val="none" w:sz="0" w:space="0" w:color="auto"/>
      </w:divBdr>
    </w:div>
    <w:div w:id="220874115">
      <w:bodyDiv w:val="1"/>
      <w:marLeft w:val="0"/>
      <w:marRight w:val="0"/>
      <w:marTop w:val="0"/>
      <w:marBottom w:val="0"/>
      <w:divBdr>
        <w:top w:val="none" w:sz="0" w:space="0" w:color="auto"/>
        <w:left w:val="none" w:sz="0" w:space="0" w:color="auto"/>
        <w:bottom w:val="none" w:sz="0" w:space="0" w:color="auto"/>
        <w:right w:val="none" w:sz="0" w:space="0" w:color="auto"/>
      </w:divBdr>
    </w:div>
    <w:div w:id="407265459">
      <w:bodyDiv w:val="1"/>
      <w:marLeft w:val="0"/>
      <w:marRight w:val="0"/>
      <w:marTop w:val="0"/>
      <w:marBottom w:val="0"/>
      <w:divBdr>
        <w:top w:val="none" w:sz="0" w:space="0" w:color="auto"/>
        <w:left w:val="none" w:sz="0" w:space="0" w:color="auto"/>
        <w:bottom w:val="none" w:sz="0" w:space="0" w:color="auto"/>
        <w:right w:val="none" w:sz="0" w:space="0" w:color="auto"/>
      </w:divBdr>
    </w:div>
    <w:div w:id="533419071">
      <w:bodyDiv w:val="1"/>
      <w:marLeft w:val="0"/>
      <w:marRight w:val="0"/>
      <w:marTop w:val="0"/>
      <w:marBottom w:val="0"/>
      <w:divBdr>
        <w:top w:val="none" w:sz="0" w:space="0" w:color="auto"/>
        <w:left w:val="none" w:sz="0" w:space="0" w:color="auto"/>
        <w:bottom w:val="none" w:sz="0" w:space="0" w:color="auto"/>
        <w:right w:val="none" w:sz="0" w:space="0" w:color="auto"/>
      </w:divBdr>
    </w:div>
    <w:div w:id="1506826623">
      <w:bodyDiv w:val="1"/>
      <w:marLeft w:val="0"/>
      <w:marRight w:val="0"/>
      <w:marTop w:val="0"/>
      <w:marBottom w:val="0"/>
      <w:divBdr>
        <w:top w:val="none" w:sz="0" w:space="0" w:color="auto"/>
        <w:left w:val="none" w:sz="0" w:space="0" w:color="auto"/>
        <w:bottom w:val="none" w:sz="0" w:space="0" w:color="auto"/>
        <w:right w:val="none" w:sz="0" w:space="0" w:color="auto"/>
      </w:divBdr>
    </w:div>
    <w:div w:id="1913732993">
      <w:bodyDiv w:val="1"/>
      <w:marLeft w:val="0"/>
      <w:marRight w:val="0"/>
      <w:marTop w:val="0"/>
      <w:marBottom w:val="0"/>
      <w:divBdr>
        <w:top w:val="none" w:sz="0" w:space="0" w:color="auto"/>
        <w:left w:val="none" w:sz="0" w:space="0" w:color="auto"/>
        <w:bottom w:val="none" w:sz="0" w:space="0" w:color="auto"/>
        <w:right w:val="none" w:sz="0" w:space="0" w:color="auto"/>
      </w:divBdr>
    </w:div>
    <w:div w:id="1940092545">
      <w:bodyDiv w:val="1"/>
      <w:marLeft w:val="0"/>
      <w:marRight w:val="0"/>
      <w:marTop w:val="0"/>
      <w:marBottom w:val="0"/>
      <w:divBdr>
        <w:top w:val="none" w:sz="0" w:space="0" w:color="auto"/>
        <w:left w:val="none" w:sz="0" w:space="0" w:color="auto"/>
        <w:bottom w:val="none" w:sz="0" w:space="0" w:color="auto"/>
        <w:right w:val="none" w:sz="0" w:space="0" w:color="auto"/>
      </w:divBdr>
    </w:div>
    <w:div w:id="20053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Foglio3!$L$70:$L$72</c:f>
              <c:strCache>
                <c:ptCount val="3"/>
                <c:pt idx="0">
                  <c:v>Italia</c:v>
                </c:pt>
                <c:pt idx="1">
                  <c:v>Francia</c:v>
                </c:pt>
                <c:pt idx="2">
                  <c:v>Germania</c:v>
                </c:pt>
              </c:strCache>
            </c:strRef>
          </c:cat>
          <c:val>
            <c:numRef>
              <c:f>Foglio3!$M$70:$M$72</c:f>
              <c:numCache>
                <c:formatCode>#,##0</c:formatCode>
                <c:ptCount val="3"/>
                <c:pt idx="0">
                  <c:v>160540</c:v>
                </c:pt>
                <c:pt idx="1">
                  <c:v>398970</c:v>
                </c:pt>
                <c:pt idx="2">
                  <c:v>174620</c:v>
                </c:pt>
              </c:numCache>
            </c:numRef>
          </c:val>
        </c:ser>
        <c:dLbls>
          <c:showLegendKey val="0"/>
          <c:showVal val="0"/>
          <c:showCatName val="0"/>
          <c:showSerName val="0"/>
          <c:showPercent val="0"/>
          <c:showBubbleSize val="0"/>
        </c:dLbls>
        <c:gapWidth val="150"/>
        <c:axId val="100919936"/>
        <c:axId val="117105024"/>
      </c:barChart>
      <c:catAx>
        <c:axId val="100919936"/>
        <c:scaling>
          <c:orientation val="minMax"/>
        </c:scaling>
        <c:delete val="0"/>
        <c:axPos val="b"/>
        <c:majorTickMark val="out"/>
        <c:minorTickMark val="none"/>
        <c:tickLblPos val="nextTo"/>
        <c:crossAx val="117105024"/>
        <c:crosses val="autoZero"/>
        <c:auto val="1"/>
        <c:lblAlgn val="ctr"/>
        <c:lblOffset val="100"/>
        <c:noMultiLvlLbl val="0"/>
      </c:catAx>
      <c:valAx>
        <c:axId val="117105024"/>
        <c:scaling>
          <c:orientation val="minMax"/>
        </c:scaling>
        <c:delete val="0"/>
        <c:axPos val="l"/>
        <c:majorGridlines/>
        <c:numFmt formatCode="#,##0" sourceLinked="1"/>
        <c:majorTickMark val="out"/>
        <c:minorTickMark val="none"/>
        <c:tickLblPos val="nextTo"/>
        <c:crossAx val="100919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Foglio3!$L$52:$L$54</c:f>
              <c:strCache>
                <c:ptCount val="3"/>
                <c:pt idx="0">
                  <c:v>Italia</c:v>
                </c:pt>
                <c:pt idx="1">
                  <c:v>Francia</c:v>
                </c:pt>
                <c:pt idx="2">
                  <c:v>Germania</c:v>
                </c:pt>
              </c:strCache>
            </c:strRef>
          </c:cat>
          <c:val>
            <c:numRef>
              <c:f>Foglio3!$M$52:$M$54</c:f>
              <c:numCache>
                <c:formatCode>#,##0</c:formatCode>
                <c:ptCount val="3"/>
                <c:pt idx="0">
                  <c:v>7853080</c:v>
                </c:pt>
                <c:pt idx="1">
                  <c:v>24114690</c:v>
                </c:pt>
                <c:pt idx="2">
                  <c:v>56698290</c:v>
                </c:pt>
              </c:numCache>
            </c:numRef>
          </c:val>
        </c:ser>
        <c:dLbls>
          <c:showLegendKey val="0"/>
          <c:showVal val="0"/>
          <c:showCatName val="0"/>
          <c:showSerName val="0"/>
          <c:showPercent val="0"/>
          <c:showBubbleSize val="0"/>
        </c:dLbls>
        <c:gapWidth val="150"/>
        <c:axId val="100982144"/>
        <c:axId val="117064832"/>
      </c:barChart>
      <c:catAx>
        <c:axId val="100982144"/>
        <c:scaling>
          <c:orientation val="minMax"/>
        </c:scaling>
        <c:delete val="0"/>
        <c:axPos val="b"/>
        <c:majorTickMark val="out"/>
        <c:minorTickMark val="none"/>
        <c:tickLblPos val="nextTo"/>
        <c:crossAx val="117064832"/>
        <c:crosses val="autoZero"/>
        <c:auto val="1"/>
        <c:lblAlgn val="ctr"/>
        <c:lblOffset val="100"/>
        <c:noMultiLvlLbl val="0"/>
      </c:catAx>
      <c:valAx>
        <c:axId val="117064832"/>
        <c:scaling>
          <c:orientation val="minMax"/>
        </c:scaling>
        <c:delete val="0"/>
        <c:axPos val="l"/>
        <c:majorGridlines/>
        <c:numFmt formatCode="#,##0" sourceLinked="1"/>
        <c:majorTickMark val="out"/>
        <c:minorTickMark val="none"/>
        <c:tickLblPos val="nextTo"/>
        <c:crossAx val="100982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BE1F-95E8-4AD8-A35F-41A8A71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Mandelli</dc:creator>
  <cp:lastModifiedBy>moretti</cp:lastModifiedBy>
  <cp:revision>4</cp:revision>
  <cp:lastPrinted>2014-07-15T16:19:00Z</cp:lastPrinted>
  <dcterms:created xsi:type="dcterms:W3CDTF">2014-07-16T09:07:00Z</dcterms:created>
  <dcterms:modified xsi:type="dcterms:W3CDTF">2014-07-16T09:49:00Z</dcterms:modified>
</cp:coreProperties>
</file>