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762" w:rsidRDefault="00EE766C" w:rsidP="00EE766C">
      <w:pPr>
        <w:tabs>
          <w:tab w:val="left" w:pos="3420"/>
        </w:tabs>
        <w:suppressAutoHyphens/>
        <w:rPr>
          <w:rFonts w:ascii="Calibri" w:hAnsi="Calibri" w:cs="Calibri"/>
          <w:color w:val="1F497D"/>
          <w:sz w:val="28"/>
          <w:szCs w:val="28"/>
        </w:rPr>
      </w:pPr>
      <w:r>
        <w:rPr>
          <w:rFonts w:ascii="Calibri" w:hAnsi="Calibri" w:cs="Calibri"/>
          <w:color w:val="1F497D"/>
          <w:sz w:val="28"/>
          <w:szCs w:val="28"/>
        </w:rPr>
        <w:tab/>
      </w:r>
    </w:p>
    <w:p w:rsidR="002D3762" w:rsidRDefault="002D3762" w:rsidP="00AE50F2">
      <w:pPr>
        <w:tabs>
          <w:tab w:val="left" w:pos="357"/>
        </w:tabs>
        <w:suppressAutoHyphens/>
        <w:rPr>
          <w:rFonts w:ascii="Calibri" w:hAnsi="Calibri" w:cs="Calibri"/>
          <w:color w:val="1F497D"/>
          <w:sz w:val="28"/>
          <w:szCs w:val="28"/>
        </w:rPr>
      </w:pPr>
    </w:p>
    <w:p w:rsidR="002D3762" w:rsidRDefault="002D3762" w:rsidP="00AE50F2">
      <w:pPr>
        <w:tabs>
          <w:tab w:val="left" w:pos="357"/>
        </w:tabs>
        <w:suppressAutoHyphens/>
        <w:rPr>
          <w:rFonts w:ascii="Calibri" w:hAnsi="Calibri" w:cs="Calibri"/>
          <w:color w:val="1F497D"/>
          <w:sz w:val="28"/>
          <w:szCs w:val="28"/>
        </w:rPr>
      </w:pPr>
    </w:p>
    <w:p w:rsidR="002D3762" w:rsidRDefault="002D3762" w:rsidP="00AE50F2">
      <w:pPr>
        <w:tabs>
          <w:tab w:val="left" w:pos="357"/>
        </w:tabs>
        <w:suppressAutoHyphens/>
        <w:rPr>
          <w:rFonts w:ascii="Calibri" w:hAnsi="Calibri" w:cs="Calibri"/>
          <w:color w:val="1F497D"/>
          <w:sz w:val="28"/>
          <w:szCs w:val="28"/>
        </w:rPr>
      </w:pPr>
    </w:p>
    <w:p w:rsidR="002D3762" w:rsidRDefault="002D3762" w:rsidP="00AE50F2">
      <w:pPr>
        <w:tabs>
          <w:tab w:val="left" w:pos="357"/>
        </w:tabs>
        <w:suppressAutoHyphens/>
        <w:rPr>
          <w:rFonts w:ascii="Calibri" w:hAnsi="Calibri" w:cs="Calibri"/>
          <w:color w:val="1F497D"/>
          <w:sz w:val="28"/>
          <w:szCs w:val="28"/>
        </w:rPr>
      </w:pPr>
    </w:p>
    <w:p w:rsidR="002D3762" w:rsidRDefault="002D3762" w:rsidP="00AE50F2">
      <w:pPr>
        <w:tabs>
          <w:tab w:val="left" w:pos="357"/>
        </w:tabs>
        <w:suppressAutoHyphens/>
        <w:rPr>
          <w:rFonts w:ascii="Calibri" w:hAnsi="Calibri" w:cs="Calibri"/>
          <w:color w:val="1F497D"/>
          <w:sz w:val="28"/>
          <w:szCs w:val="28"/>
        </w:rPr>
      </w:pPr>
    </w:p>
    <w:p w:rsidR="002D3762" w:rsidRDefault="002D3762" w:rsidP="00AE50F2">
      <w:pPr>
        <w:tabs>
          <w:tab w:val="left" w:pos="357"/>
        </w:tabs>
        <w:suppressAutoHyphens/>
        <w:rPr>
          <w:rFonts w:ascii="Calibri" w:hAnsi="Calibri" w:cs="Calibri"/>
          <w:color w:val="1F497D"/>
          <w:sz w:val="28"/>
          <w:szCs w:val="28"/>
        </w:rPr>
      </w:pPr>
    </w:p>
    <w:p w:rsidR="002D3762" w:rsidRDefault="002D3762" w:rsidP="00AE50F2">
      <w:pPr>
        <w:tabs>
          <w:tab w:val="left" w:pos="357"/>
        </w:tabs>
        <w:suppressAutoHyphens/>
        <w:rPr>
          <w:rFonts w:ascii="Calibri" w:hAnsi="Calibri" w:cs="Calibri"/>
          <w:color w:val="1F497D"/>
          <w:sz w:val="28"/>
          <w:szCs w:val="28"/>
        </w:rPr>
      </w:pPr>
    </w:p>
    <w:p w:rsidR="002D3762" w:rsidRDefault="002D3762" w:rsidP="00AE50F2">
      <w:pPr>
        <w:tabs>
          <w:tab w:val="left" w:pos="357"/>
        </w:tabs>
        <w:suppressAutoHyphens/>
        <w:rPr>
          <w:rFonts w:ascii="Calibri" w:hAnsi="Calibri" w:cs="Calibri"/>
          <w:color w:val="1F497D"/>
          <w:sz w:val="28"/>
          <w:szCs w:val="28"/>
        </w:rPr>
      </w:pPr>
    </w:p>
    <w:p w:rsidR="002D3762" w:rsidRDefault="002D3762" w:rsidP="00AE50F2">
      <w:pPr>
        <w:tabs>
          <w:tab w:val="left" w:pos="357"/>
        </w:tabs>
        <w:suppressAutoHyphens/>
        <w:rPr>
          <w:rFonts w:ascii="Calibri" w:hAnsi="Calibri" w:cs="Calibri"/>
          <w:color w:val="1F497D"/>
          <w:sz w:val="28"/>
          <w:szCs w:val="28"/>
        </w:rPr>
      </w:pPr>
    </w:p>
    <w:p w:rsidR="002D3762" w:rsidRDefault="002D3762" w:rsidP="00AE50F2">
      <w:pPr>
        <w:tabs>
          <w:tab w:val="left" w:pos="357"/>
        </w:tabs>
        <w:suppressAutoHyphens/>
        <w:rPr>
          <w:rFonts w:ascii="Calibri" w:hAnsi="Calibri" w:cs="Calibri"/>
          <w:color w:val="1F497D"/>
          <w:sz w:val="28"/>
          <w:szCs w:val="28"/>
        </w:rPr>
      </w:pPr>
    </w:p>
    <w:p w:rsidR="002D3762" w:rsidRDefault="002D3762" w:rsidP="00AE50F2">
      <w:pPr>
        <w:tabs>
          <w:tab w:val="left" w:pos="357"/>
        </w:tabs>
        <w:suppressAutoHyphens/>
        <w:rPr>
          <w:rFonts w:ascii="Calibri" w:hAnsi="Calibri" w:cs="Calibri"/>
          <w:color w:val="1F497D"/>
          <w:sz w:val="28"/>
          <w:szCs w:val="28"/>
        </w:rPr>
      </w:pPr>
      <w:r>
        <w:rPr>
          <w:rFonts w:asciiTheme="minorHAnsi" w:hAnsiTheme="minorHAnsi"/>
          <w:b/>
          <w:noProof/>
          <w:sz w:val="28"/>
          <w:szCs w:val="28"/>
        </w:rPr>
        <w:drawing>
          <wp:anchor distT="0" distB="0" distL="114300" distR="114300" simplePos="0" relativeHeight="251658240" behindDoc="0" locked="0" layoutInCell="1" allowOverlap="1">
            <wp:simplePos x="0" y="0"/>
            <wp:positionH relativeFrom="column">
              <wp:posOffset>-70485</wp:posOffset>
            </wp:positionH>
            <wp:positionV relativeFrom="paragraph">
              <wp:posOffset>11430</wp:posOffset>
            </wp:positionV>
            <wp:extent cx="6332220" cy="2147570"/>
            <wp:effectExtent l="0" t="0" r="0" b="508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2220" cy="2147570"/>
                    </a:xfrm>
                    <a:prstGeom prst="rect">
                      <a:avLst/>
                    </a:prstGeom>
                    <a:noFill/>
                    <a:ln>
                      <a:noFill/>
                    </a:ln>
                  </pic:spPr>
                </pic:pic>
              </a:graphicData>
            </a:graphic>
          </wp:anchor>
        </w:drawing>
      </w:r>
    </w:p>
    <w:p w:rsidR="002D3762" w:rsidRDefault="007351F6" w:rsidP="00AE50F2">
      <w:pPr>
        <w:tabs>
          <w:tab w:val="left" w:pos="357"/>
        </w:tabs>
        <w:suppressAutoHyphens/>
        <w:rPr>
          <w:rFonts w:ascii="Calibri" w:hAnsi="Calibri" w:cs="Calibri"/>
          <w:color w:val="1F497D"/>
          <w:sz w:val="28"/>
          <w:szCs w:val="28"/>
        </w:rPr>
      </w:pPr>
      <w:r>
        <w:rPr>
          <w:rFonts w:asciiTheme="minorHAnsi" w:hAnsiTheme="minorHAnsi"/>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99060</wp:posOffset>
                </wp:positionH>
                <wp:positionV relativeFrom="paragraph">
                  <wp:posOffset>191135</wp:posOffset>
                </wp:positionV>
                <wp:extent cx="6010910" cy="1304925"/>
                <wp:effectExtent l="0" t="0" r="0" b="9525"/>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910" cy="1304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03E" w:rsidRPr="002D3762" w:rsidRDefault="000D203E" w:rsidP="00575691">
                            <w:pPr>
                              <w:jc w:val="right"/>
                              <w:rPr>
                                <w:rFonts w:ascii="Calibri" w:hAnsi="Calibri" w:cs="Calibri"/>
                                <w:iCs/>
                                <w:color w:val="FFFFFF"/>
                                <w:sz w:val="36"/>
                                <w:szCs w:val="36"/>
                              </w:rPr>
                            </w:pPr>
                            <w:r w:rsidRPr="002D3762">
                              <w:rPr>
                                <w:rFonts w:ascii="Calibri" w:hAnsi="Calibri" w:cs="Calibri"/>
                                <w:iCs/>
                                <w:color w:val="FFFFFF"/>
                                <w:sz w:val="36"/>
                                <w:szCs w:val="36"/>
                              </w:rPr>
                              <w:t>OSSERVATORIO NAZIONALE IMMOBILIARE TURISTICO 201</w:t>
                            </w:r>
                            <w:r>
                              <w:rPr>
                                <w:rFonts w:ascii="Calibri" w:hAnsi="Calibri" w:cs="Calibri"/>
                                <w:iCs/>
                                <w:color w:val="FFFFFF"/>
                                <w:sz w:val="36"/>
                                <w:szCs w:val="36"/>
                              </w:rPr>
                              <w:t>7</w:t>
                            </w:r>
                          </w:p>
                          <w:p w:rsidR="000D203E" w:rsidRPr="002D3762" w:rsidRDefault="000D203E" w:rsidP="00575691">
                            <w:pPr>
                              <w:jc w:val="right"/>
                              <w:rPr>
                                <w:rFonts w:ascii="Calibri" w:hAnsi="Calibri" w:cs="Calibri"/>
                                <w:iCs/>
                                <w:color w:val="FFFFFF"/>
                                <w:sz w:val="36"/>
                                <w:szCs w:val="36"/>
                              </w:rPr>
                            </w:pPr>
                          </w:p>
                          <w:p w:rsidR="000D203E" w:rsidRPr="002D3762" w:rsidRDefault="000D203E" w:rsidP="00575691">
                            <w:pPr>
                              <w:jc w:val="right"/>
                              <w:rPr>
                                <w:rFonts w:ascii="Calibri" w:hAnsi="Calibri" w:cs="Calibri"/>
                                <w:i/>
                                <w:color w:val="FFFFFF"/>
                                <w:sz w:val="36"/>
                                <w:szCs w:val="36"/>
                              </w:rPr>
                            </w:pPr>
                            <w:r w:rsidRPr="002D3762">
                              <w:rPr>
                                <w:rFonts w:ascii="Calibri" w:hAnsi="Calibri" w:cs="Calibri"/>
                                <w:iCs/>
                                <w:color w:val="FFFFFF"/>
                                <w:sz w:val="36"/>
                                <w:szCs w:val="36"/>
                              </w:rPr>
                              <w:t xml:space="preserve">SUL MERCATO DELLE CASE PER VACANZA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asella di testo 3" o:spid="_x0000_s1026" type="#_x0000_t202" style="position:absolute;left:0;text-align:left;margin-left:7.8pt;margin-top:15.05pt;width:473.3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" filled="f" stroked="f">
                <v:textbox>
                  <w:txbxContent>
                    <w:p w:rsidR="000D203E" w:rsidRPr="002D3762" w:rsidRDefault="000D203E" w:rsidP="00575691">
                      <w:pPr>
                        <w:jc w:val="right"/>
                        <w:rPr>
                          <w:rFonts w:ascii="Calibri" w:hAnsi="Calibri" w:cs="Calibri"/>
                          <w:iCs/>
                          <w:color w:val="FFFFFF"/>
                          <w:sz w:val="36"/>
                          <w:szCs w:val="36"/>
                        </w:rPr>
                      </w:pPr>
                      <w:r w:rsidRPr="002D3762">
                        <w:rPr>
                          <w:rFonts w:ascii="Calibri" w:hAnsi="Calibri" w:cs="Calibri"/>
                          <w:iCs/>
                          <w:color w:val="FFFFFF"/>
                          <w:sz w:val="36"/>
                          <w:szCs w:val="36"/>
                        </w:rPr>
                        <w:t>OSSERVATORIO NAZIONALE IMMOBILIARE TURISTICO 201</w:t>
                      </w:r>
                      <w:r>
                        <w:rPr>
                          <w:rFonts w:ascii="Calibri" w:hAnsi="Calibri" w:cs="Calibri"/>
                          <w:iCs/>
                          <w:color w:val="FFFFFF"/>
                          <w:sz w:val="36"/>
                          <w:szCs w:val="36"/>
                        </w:rPr>
                        <w:t>7</w:t>
                      </w:r>
                    </w:p>
                    <w:p w:rsidR="000D203E" w:rsidRPr="002D3762" w:rsidRDefault="000D203E" w:rsidP="00575691">
                      <w:pPr>
                        <w:jc w:val="right"/>
                        <w:rPr>
                          <w:rFonts w:ascii="Calibri" w:hAnsi="Calibri" w:cs="Calibri"/>
                          <w:iCs/>
                          <w:color w:val="FFFFFF"/>
                          <w:sz w:val="36"/>
                          <w:szCs w:val="36"/>
                        </w:rPr>
                      </w:pPr>
                    </w:p>
                    <w:p w:rsidR="000D203E" w:rsidRPr="002D3762" w:rsidRDefault="000D203E" w:rsidP="00575691">
                      <w:pPr>
                        <w:jc w:val="right"/>
                        <w:rPr>
                          <w:rFonts w:ascii="Calibri" w:hAnsi="Calibri" w:cs="Calibri"/>
                          <w:i/>
                          <w:color w:val="FFFFFF"/>
                          <w:sz w:val="36"/>
                          <w:szCs w:val="36"/>
                        </w:rPr>
                      </w:pPr>
                      <w:r w:rsidRPr="002D3762">
                        <w:rPr>
                          <w:rFonts w:ascii="Calibri" w:hAnsi="Calibri" w:cs="Calibri"/>
                          <w:iCs/>
                          <w:color w:val="FFFFFF"/>
                          <w:sz w:val="36"/>
                          <w:szCs w:val="36"/>
                        </w:rPr>
                        <w:t xml:space="preserve">SUL MERCATO DELLE CASE PER VACANZA </w:t>
                      </w:r>
                    </w:p>
                  </w:txbxContent>
                </v:textbox>
              </v:shape>
            </w:pict>
          </mc:Fallback>
        </mc:AlternateContent>
      </w:r>
    </w:p>
    <w:p w:rsidR="002D3762" w:rsidRDefault="002D3762" w:rsidP="00AE50F2">
      <w:pPr>
        <w:tabs>
          <w:tab w:val="left" w:pos="357"/>
        </w:tabs>
        <w:suppressAutoHyphens/>
        <w:rPr>
          <w:rFonts w:ascii="Calibri" w:hAnsi="Calibri" w:cs="Calibri"/>
          <w:color w:val="1F497D"/>
          <w:sz w:val="28"/>
          <w:szCs w:val="28"/>
        </w:rPr>
      </w:pPr>
    </w:p>
    <w:p w:rsidR="002D3762" w:rsidRDefault="002D3762" w:rsidP="00AE50F2">
      <w:pPr>
        <w:tabs>
          <w:tab w:val="left" w:pos="357"/>
        </w:tabs>
        <w:suppressAutoHyphens/>
        <w:rPr>
          <w:rFonts w:ascii="Calibri" w:hAnsi="Calibri" w:cs="Calibri"/>
          <w:color w:val="1F497D"/>
          <w:sz w:val="28"/>
          <w:szCs w:val="28"/>
        </w:rPr>
      </w:pPr>
    </w:p>
    <w:p w:rsidR="002D3762" w:rsidRDefault="002D3762" w:rsidP="00AE50F2">
      <w:pPr>
        <w:tabs>
          <w:tab w:val="left" w:pos="357"/>
        </w:tabs>
        <w:suppressAutoHyphens/>
        <w:rPr>
          <w:rFonts w:ascii="Calibri" w:hAnsi="Calibri" w:cs="Calibri"/>
          <w:color w:val="1F497D"/>
          <w:sz w:val="28"/>
          <w:szCs w:val="28"/>
        </w:rPr>
      </w:pPr>
    </w:p>
    <w:p w:rsidR="002D3762" w:rsidRDefault="002D3762" w:rsidP="00AE50F2">
      <w:pPr>
        <w:tabs>
          <w:tab w:val="left" w:pos="357"/>
        </w:tabs>
        <w:suppressAutoHyphens/>
        <w:rPr>
          <w:rFonts w:ascii="Calibri" w:hAnsi="Calibri" w:cs="Calibri"/>
          <w:color w:val="1F497D"/>
          <w:sz w:val="28"/>
          <w:szCs w:val="28"/>
        </w:rPr>
      </w:pPr>
    </w:p>
    <w:p w:rsidR="002D3762" w:rsidRDefault="002D3762" w:rsidP="00AE50F2">
      <w:pPr>
        <w:tabs>
          <w:tab w:val="left" w:pos="357"/>
        </w:tabs>
        <w:suppressAutoHyphens/>
        <w:rPr>
          <w:rFonts w:ascii="Calibri" w:hAnsi="Calibri" w:cs="Calibri"/>
          <w:color w:val="1F497D"/>
          <w:sz w:val="28"/>
          <w:szCs w:val="28"/>
        </w:rPr>
      </w:pPr>
    </w:p>
    <w:p w:rsidR="002D3762" w:rsidRDefault="002D3762" w:rsidP="00AE50F2">
      <w:pPr>
        <w:tabs>
          <w:tab w:val="left" w:pos="357"/>
        </w:tabs>
        <w:suppressAutoHyphens/>
        <w:rPr>
          <w:rFonts w:ascii="Calibri" w:hAnsi="Calibri" w:cs="Calibri"/>
          <w:color w:val="1F497D"/>
          <w:sz w:val="28"/>
          <w:szCs w:val="28"/>
        </w:rPr>
      </w:pPr>
    </w:p>
    <w:p w:rsidR="002D3762" w:rsidRDefault="002D3762" w:rsidP="00AE50F2">
      <w:pPr>
        <w:tabs>
          <w:tab w:val="left" w:pos="357"/>
        </w:tabs>
        <w:suppressAutoHyphens/>
        <w:rPr>
          <w:rFonts w:ascii="Calibri" w:hAnsi="Calibri" w:cs="Calibri"/>
          <w:color w:val="1F497D"/>
          <w:sz w:val="28"/>
          <w:szCs w:val="28"/>
        </w:rPr>
      </w:pPr>
    </w:p>
    <w:p w:rsidR="002D3762" w:rsidRDefault="002D3762" w:rsidP="00AE50F2">
      <w:pPr>
        <w:tabs>
          <w:tab w:val="left" w:pos="357"/>
        </w:tabs>
        <w:suppressAutoHyphens/>
        <w:rPr>
          <w:rFonts w:ascii="Calibri" w:hAnsi="Calibri" w:cs="Calibri"/>
          <w:color w:val="1F497D"/>
          <w:sz w:val="28"/>
          <w:szCs w:val="28"/>
        </w:rPr>
      </w:pPr>
    </w:p>
    <w:p w:rsidR="002D3762" w:rsidRDefault="002D3762" w:rsidP="00AE50F2">
      <w:pPr>
        <w:tabs>
          <w:tab w:val="left" w:pos="357"/>
        </w:tabs>
        <w:suppressAutoHyphens/>
        <w:rPr>
          <w:rFonts w:ascii="Calibri" w:hAnsi="Calibri" w:cs="Calibri"/>
          <w:color w:val="1F497D"/>
          <w:sz w:val="28"/>
          <w:szCs w:val="28"/>
        </w:rPr>
      </w:pPr>
    </w:p>
    <w:p w:rsidR="00D859D7" w:rsidRPr="00D859D7" w:rsidRDefault="00D859D7" w:rsidP="00D859D7">
      <w:pPr>
        <w:tabs>
          <w:tab w:val="left" w:pos="357"/>
        </w:tabs>
        <w:suppressAutoHyphens/>
        <w:jc w:val="center"/>
        <w:rPr>
          <w:rFonts w:ascii="Calibri" w:hAnsi="Calibri" w:cs="Calibri"/>
          <w:b/>
          <w:color w:val="1F497D"/>
          <w:sz w:val="28"/>
          <w:szCs w:val="28"/>
          <w:u w:val="single"/>
        </w:rPr>
      </w:pPr>
    </w:p>
    <w:p w:rsidR="002D3762" w:rsidRDefault="002D3762" w:rsidP="002D3762">
      <w:pPr>
        <w:tabs>
          <w:tab w:val="left" w:pos="357"/>
        </w:tabs>
        <w:suppressAutoHyphens/>
        <w:jc w:val="center"/>
        <w:rPr>
          <w:rFonts w:ascii="Calibri" w:hAnsi="Calibri" w:cs="Calibri"/>
          <w:color w:val="1F497D"/>
          <w:sz w:val="28"/>
          <w:szCs w:val="28"/>
        </w:rPr>
      </w:pPr>
    </w:p>
    <w:p w:rsidR="002D3762" w:rsidRDefault="002D3762" w:rsidP="002D3762">
      <w:pPr>
        <w:tabs>
          <w:tab w:val="left" w:pos="357"/>
        </w:tabs>
        <w:suppressAutoHyphens/>
        <w:jc w:val="center"/>
        <w:rPr>
          <w:rFonts w:ascii="Calibri" w:hAnsi="Calibri" w:cs="Calibri"/>
          <w:color w:val="1F497D"/>
          <w:sz w:val="28"/>
          <w:szCs w:val="28"/>
        </w:rPr>
      </w:pPr>
    </w:p>
    <w:p w:rsidR="00D859D7" w:rsidRDefault="00D859D7" w:rsidP="002D3762">
      <w:pPr>
        <w:tabs>
          <w:tab w:val="left" w:pos="357"/>
        </w:tabs>
        <w:suppressAutoHyphens/>
        <w:jc w:val="center"/>
        <w:rPr>
          <w:rFonts w:ascii="Calibri" w:hAnsi="Calibri" w:cs="Calibri"/>
          <w:color w:val="1F497D"/>
          <w:sz w:val="28"/>
          <w:szCs w:val="28"/>
        </w:rPr>
      </w:pPr>
    </w:p>
    <w:p w:rsidR="008A4E21" w:rsidRDefault="008A4E21" w:rsidP="002D3762">
      <w:pPr>
        <w:tabs>
          <w:tab w:val="left" w:pos="357"/>
        </w:tabs>
        <w:suppressAutoHyphens/>
        <w:jc w:val="center"/>
        <w:rPr>
          <w:rFonts w:ascii="Calibri" w:hAnsi="Calibri" w:cs="Calibri"/>
          <w:color w:val="1F497D"/>
          <w:sz w:val="28"/>
          <w:szCs w:val="28"/>
        </w:rPr>
      </w:pPr>
    </w:p>
    <w:p w:rsidR="008A4E21" w:rsidRDefault="008A4E21" w:rsidP="002D3762">
      <w:pPr>
        <w:tabs>
          <w:tab w:val="left" w:pos="357"/>
        </w:tabs>
        <w:suppressAutoHyphens/>
        <w:jc w:val="center"/>
        <w:rPr>
          <w:rFonts w:asciiTheme="minorHAnsi" w:hAnsiTheme="minorHAnsi"/>
          <w:b/>
          <w:sz w:val="28"/>
          <w:szCs w:val="28"/>
        </w:rPr>
      </w:pPr>
    </w:p>
    <w:p w:rsidR="006E2E9E" w:rsidRDefault="006E2E9E" w:rsidP="00AE50F2">
      <w:pPr>
        <w:tabs>
          <w:tab w:val="left" w:pos="357"/>
        </w:tabs>
        <w:suppressAutoHyphens/>
        <w:rPr>
          <w:rFonts w:asciiTheme="minorHAnsi" w:hAnsiTheme="minorHAnsi"/>
          <w:b/>
          <w:sz w:val="28"/>
          <w:szCs w:val="28"/>
        </w:rPr>
      </w:pPr>
    </w:p>
    <w:p w:rsidR="002D3762" w:rsidRPr="00CC2E4C" w:rsidRDefault="00AF3CF5" w:rsidP="008A4E21">
      <w:pPr>
        <w:jc w:val="center"/>
        <w:rPr>
          <w:rFonts w:ascii="Calibri" w:hAnsi="Calibri" w:cs="Calibri"/>
          <w:color w:val="1F497D"/>
          <w:sz w:val="28"/>
          <w:szCs w:val="28"/>
        </w:rPr>
      </w:pPr>
      <w:r>
        <w:rPr>
          <w:rFonts w:ascii="Calibri" w:hAnsi="Calibri" w:cs="Calibri"/>
          <w:noProof/>
          <w:color w:val="1F497D"/>
          <w:sz w:val="28"/>
          <w:szCs w:val="28"/>
        </w:rPr>
        <w:drawing>
          <wp:inline distT="0" distB="0" distL="0" distR="0">
            <wp:extent cx="1980000" cy="933051"/>
            <wp:effectExtent l="0" t="0" r="1270" b="63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FCOMMERCI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0000" cy="933051"/>
                    </a:xfrm>
                    <a:prstGeom prst="rect">
                      <a:avLst/>
                    </a:prstGeom>
                  </pic:spPr>
                </pic:pic>
              </a:graphicData>
            </a:graphic>
          </wp:inline>
        </w:drawing>
      </w:r>
      <w:r w:rsidR="00575691">
        <w:rPr>
          <w:rFonts w:asciiTheme="minorHAnsi" w:hAnsiTheme="minorHAnsi"/>
          <w:b/>
          <w:sz w:val="28"/>
          <w:szCs w:val="28"/>
        </w:rPr>
        <w:br w:type="page"/>
      </w:r>
    </w:p>
    <w:p w:rsidR="00813DE3" w:rsidRPr="00813DE3" w:rsidRDefault="00813DE3" w:rsidP="00813DE3">
      <w:pPr>
        <w:pStyle w:val="Paragrafoelenco"/>
        <w:rPr>
          <w:rFonts w:asciiTheme="minorHAnsi" w:eastAsia="Calibri" w:hAnsiTheme="minorHAnsi" w:cstheme="minorHAnsi"/>
          <w:b/>
          <w:szCs w:val="24"/>
        </w:rPr>
      </w:pPr>
    </w:p>
    <w:p w:rsidR="00F617BC" w:rsidRPr="005A0A58" w:rsidRDefault="000B575C" w:rsidP="005A0A58">
      <w:pPr>
        <w:jc w:val="left"/>
        <w:rPr>
          <w:rFonts w:asciiTheme="minorHAnsi" w:eastAsia="Calibri" w:hAnsiTheme="minorHAnsi" w:cstheme="minorHAnsi"/>
          <w:szCs w:val="24"/>
          <w:highlight w:val="yellow"/>
        </w:rPr>
      </w:pPr>
      <w:bookmarkStart w:id="0" w:name="_GoBack"/>
      <w:bookmarkEnd w:id="0"/>
      <w:r>
        <w:rPr>
          <w:rFonts w:asciiTheme="minorHAnsi" w:eastAsia="Calibri" w:hAnsiTheme="minorHAnsi" w:cstheme="minorHAnsi"/>
          <w:szCs w:val="24"/>
        </w:rPr>
        <w:t xml:space="preserve">Anche nel 2017 è proseguito il </w:t>
      </w:r>
      <w:r w:rsidR="00E93DED" w:rsidRPr="00346450">
        <w:rPr>
          <w:rFonts w:asciiTheme="minorHAnsi" w:eastAsia="Calibri" w:hAnsiTheme="minorHAnsi" w:cstheme="minorHAnsi"/>
          <w:szCs w:val="24"/>
        </w:rPr>
        <w:t>processo di ridimensionamento</w:t>
      </w:r>
      <w:r w:rsidR="001C4A04" w:rsidRPr="00346450">
        <w:rPr>
          <w:rFonts w:asciiTheme="minorHAnsi" w:eastAsia="Calibri" w:hAnsiTheme="minorHAnsi" w:cstheme="minorHAnsi"/>
          <w:szCs w:val="24"/>
        </w:rPr>
        <w:t xml:space="preserve"> dei prezzi</w:t>
      </w:r>
      <w:r w:rsidR="00EF12C4">
        <w:rPr>
          <w:rFonts w:asciiTheme="minorHAnsi" w:eastAsia="Calibri" w:hAnsiTheme="minorHAnsi" w:cstheme="minorHAnsi"/>
          <w:szCs w:val="24"/>
        </w:rPr>
        <w:t>, che hanno fatto segnare</w:t>
      </w:r>
      <w:r w:rsidR="00E93DED" w:rsidRPr="00346450">
        <w:rPr>
          <w:rFonts w:asciiTheme="minorHAnsi" w:eastAsia="Calibri" w:hAnsiTheme="minorHAnsi" w:cstheme="minorHAnsi"/>
          <w:szCs w:val="24"/>
        </w:rPr>
        <w:t xml:space="preserve"> </w:t>
      </w:r>
      <w:r>
        <w:rPr>
          <w:rFonts w:asciiTheme="minorHAnsi" w:eastAsia="Calibri" w:hAnsiTheme="minorHAnsi" w:cstheme="minorHAnsi"/>
          <w:szCs w:val="24"/>
        </w:rPr>
        <w:t xml:space="preserve">una flessione del </w:t>
      </w:r>
      <w:r w:rsidR="00B25BF8" w:rsidRPr="00346450">
        <w:rPr>
          <w:rFonts w:asciiTheme="minorHAnsi" w:eastAsia="Calibri" w:hAnsiTheme="minorHAnsi" w:cstheme="minorHAnsi"/>
          <w:szCs w:val="24"/>
        </w:rPr>
        <w:t>-2,</w:t>
      </w:r>
      <w:r w:rsidR="00E93DED" w:rsidRPr="00346450">
        <w:rPr>
          <w:rFonts w:asciiTheme="minorHAnsi" w:eastAsia="Calibri" w:hAnsiTheme="minorHAnsi" w:cstheme="minorHAnsi"/>
          <w:szCs w:val="24"/>
        </w:rPr>
        <w:t>5</w:t>
      </w:r>
      <w:r w:rsidR="00B25BF8" w:rsidRPr="00346450">
        <w:rPr>
          <w:rFonts w:asciiTheme="minorHAnsi" w:eastAsia="Calibri" w:hAnsiTheme="minorHAnsi" w:cstheme="minorHAnsi"/>
          <w:szCs w:val="24"/>
        </w:rPr>
        <w:t xml:space="preserve">% </w:t>
      </w:r>
      <w:r w:rsidR="008A6E01">
        <w:rPr>
          <w:rFonts w:asciiTheme="minorHAnsi" w:eastAsia="Calibri" w:hAnsiTheme="minorHAnsi" w:cstheme="minorHAnsi"/>
          <w:szCs w:val="24"/>
        </w:rPr>
        <w:t>rispetto all’anno precedente</w:t>
      </w:r>
      <w:r w:rsidR="00B25BF8" w:rsidRPr="00346450">
        <w:rPr>
          <w:rFonts w:asciiTheme="minorHAnsi" w:eastAsia="Calibri" w:hAnsiTheme="minorHAnsi" w:cstheme="minorHAnsi"/>
          <w:szCs w:val="24"/>
        </w:rPr>
        <w:t>,</w:t>
      </w:r>
      <w:r w:rsidR="00F617BC">
        <w:rPr>
          <w:rFonts w:asciiTheme="minorHAnsi" w:eastAsia="Calibri" w:hAnsiTheme="minorHAnsi" w:cstheme="minorHAnsi"/>
          <w:szCs w:val="24"/>
        </w:rPr>
        <w:t xml:space="preserve"> </w:t>
      </w:r>
      <w:r w:rsidR="00EF12C4">
        <w:rPr>
          <w:rFonts w:ascii="Calibri" w:hAnsi="Calibri"/>
          <w:szCs w:val="22"/>
        </w:rPr>
        <w:t xml:space="preserve">a conferma della </w:t>
      </w:r>
      <w:r w:rsidR="00F617BC" w:rsidRPr="00861E32">
        <w:rPr>
          <w:rFonts w:ascii="Calibri" w:hAnsi="Calibri"/>
          <w:szCs w:val="22"/>
        </w:rPr>
        <w:t>difficoltà</w:t>
      </w:r>
      <w:r w:rsidR="00F617BC">
        <w:rPr>
          <w:rFonts w:ascii="Calibri" w:hAnsi="Calibri"/>
          <w:szCs w:val="22"/>
        </w:rPr>
        <w:t xml:space="preserve"> de</w:t>
      </w:r>
      <w:r w:rsidR="00EF12C4">
        <w:rPr>
          <w:rFonts w:ascii="Calibri" w:hAnsi="Calibri"/>
          <w:szCs w:val="22"/>
        </w:rPr>
        <w:t>i</w:t>
      </w:r>
      <w:r w:rsidR="00F617BC">
        <w:rPr>
          <w:rFonts w:ascii="Calibri" w:hAnsi="Calibri"/>
          <w:szCs w:val="22"/>
        </w:rPr>
        <w:t xml:space="preserve"> mercati di raggiungere un nuovo equilibrio.</w:t>
      </w:r>
    </w:p>
    <w:p w:rsidR="00F617BC" w:rsidRDefault="00F617BC" w:rsidP="00346450">
      <w:pPr>
        <w:spacing w:line="276" w:lineRule="auto"/>
        <w:rPr>
          <w:rFonts w:asciiTheme="minorHAnsi" w:eastAsia="Calibri" w:hAnsiTheme="minorHAnsi" w:cstheme="minorHAnsi"/>
          <w:szCs w:val="24"/>
        </w:rPr>
      </w:pPr>
    </w:p>
    <w:p w:rsidR="008B7E41" w:rsidRDefault="002F0AF4" w:rsidP="00C82DCF">
      <w:pPr>
        <w:spacing w:line="276" w:lineRule="auto"/>
        <w:rPr>
          <w:rFonts w:asciiTheme="minorHAnsi" w:eastAsia="Calibri" w:hAnsiTheme="minorHAnsi" w:cstheme="minorHAnsi"/>
          <w:szCs w:val="24"/>
        </w:rPr>
      </w:pPr>
      <w:r w:rsidRPr="00C82DCF">
        <w:rPr>
          <w:rFonts w:asciiTheme="minorHAnsi" w:eastAsia="Calibri" w:hAnsiTheme="minorHAnsi" w:cstheme="minorHAnsi"/>
          <w:szCs w:val="24"/>
        </w:rPr>
        <w:t>A far segnare gli arretramenti più marcati sono state le località minori d</w:t>
      </w:r>
      <w:r w:rsidR="00BD452D" w:rsidRPr="00C82DCF">
        <w:rPr>
          <w:rFonts w:asciiTheme="minorHAnsi" w:eastAsia="Calibri" w:hAnsiTheme="minorHAnsi" w:cstheme="minorHAnsi"/>
          <w:szCs w:val="24"/>
        </w:rPr>
        <w:t>ell’Abruzzo</w:t>
      </w:r>
      <w:r w:rsidRPr="00C82DCF">
        <w:rPr>
          <w:rFonts w:asciiTheme="minorHAnsi" w:eastAsia="Calibri" w:hAnsiTheme="minorHAnsi" w:cstheme="minorHAnsi"/>
          <w:szCs w:val="24"/>
        </w:rPr>
        <w:t>, con variazioni annuali in parecchi casi superiori al -6%, seppure non siano mancate riduzioni significative anche in corrispondenza di alcune delle località italiane più rinomate (Forte dei Marmi -4,</w:t>
      </w:r>
      <w:r w:rsidR="00BD452D" w:rsidRPr="00C82DCF">
        <w:rPr>
          <w:rFonts w:asciiTheme="minorHAnsi" w:eastAsia="Calibri" w:hAnsiTheme="minorHAnsi" w:cstheme="minorHAnsi"/>
          <w:szCs w:val="24"/>
        </w:rPr>
        <w:t>4</w:t>
      </w:r>
      <w:r w:rsidRPr="00C82DCF">
        <w:rPr>
          <w:rFonts w:asciiTheme="minorHAnsi" w:eastAsia="Calibri" w:hAnsiTheme="minorHAnsi" w:cstheme="minorHAnsi"/>
          <w:szCs w:val="24"/>
        </w:rPr>
        <w:t>%,</w:t>
      </w:r>
      <w:r w:rsidR="00BD452D" w:rsidRPr="00C82DCF">
        <w:rPr>
          <w:rFonts w:asciiTheme="minorHAnsi" w:eastAsia="Calibri" w:hAnsiTheme="minorHAnsi" w:cstheme="minorHAnsi"/>
          <w:szCs w:val="24"/>
        </w:rPr>
        <w:t xml:space="preserve"> Santa Margherita Ligure -4,3%,</w:t>
      </w:r>
      <w:r w:rsidRPr="00C82DCF">
        <w:rPr>
          <w:rFonts w:asciiTheme="minorHAnsi" w:eastAsia="Calibri" w:hAnsiTheme="minorHAnsi" w:cstheme="minorHAnsi"/>
          <w:szCs w:val="24"/>
        </w:rPr>
        <w:t xml:space="preserve"> </w:t>
      </w:r>
      <w:r w:rsidR="00C82DCF" w:rsidRPr="00C82DCF">
        <w:rPr>
          <w:rFonts w:asciiTheme="minorHAnsi" w:eastAsia="Calibri" w:hAnsiTheme="minorHAnsi" w:cstheme="minorHAnsi"/>
          <w:szCs w:val="24"/>
        </w:rPr>
        <w:t xml:space="preserve">Sorrento -4%, </w:t>
      </w:r>
      <w:r w:rsidRPr="00C82DCF">
        <w:rPr>
          <w:rFonts w:asciiTheme="minorHAnsi" w:eastAsia="Calibri" w:hAnsiTheme="minorHAnsi" w:cstheme="minorHAnsi"/>
          <w:szCs w:val="24"/>
        </w:rPr>
        <w:t>Madonna di Campiglio</w:t>
      </w:r>
      <w:r w:rsidR="00DF1E84">
        <w:rPr>
          <w:rFonts w:asciiTheme="minorHAnsi" w:eastAsia="Calibri" w:hAnsiTheme="minorHAnsi" w:cstheme="minorHAnsi"/>
          <w:szCs w:val="24"/>
        </w:rPr>
        <w:t xml:space="preserve"> </w:t>
      </w:r>
      <w:r w:rsidR="00BD452D" w:rsidRPr="00C82DCF">
        <w:rPr>
          <w:rFonts w:asciiTheme="minorHAnsi" w:eastAsia="Calibri" w:hAnsiTheme="minorHAnsi" w:cstheme="minorHAnsi"/>
          <w:szCs w:val="24"/>
        </w:rPr>
        <w:t>-3,4%</w:t>
      </w:r>
      <w:r w:rsidRPr="00C82DCF">
        <w:rPr>
          <w:rFonts w:asciiTheme="minorHAnsi" w:eastAsia="Calibri" w:hAnsiTheme="minorHAnsi" w:cstheme="minorHAnsi"/>
          <w:szCs w:val="24"/>
        </w:rPr>
        <w:t>).</w:t>
      </w:r>
    </w:p>
    <w:p w:rsidR="007C0B66" w:rsidRDefault="002F0AF4" w:rsidP="00771EF7">
      <w:pPr>
        <w:shd w:val="clear" w:color="auto" w:fill="FFFFFF" w:themeFill="background1"/>
        <w:spacing w:line="276" w:lineRule="auto"/>
        <w:rPr>
          <w:rFonts w:asciiTheme="minorHAnsi" w:eastAsia="Calibri" w:hAnsiTheme="minorHAnsi" w:cstheme="minorHAnsi"/>
          <w:szCs w:val="24"/>
        </w:rPr>
      </w:pPr>
      <w:r w:rsidRPr="00C35CC4">
        <w:rPr>
          <w:rFonts w:asciiTheme="minorHAnsi" w:eastAsia="Calibri" w:hAnsiTheme="minorHAnsi" w:cstheme="minorHAnsi"/>
          <w:szCs w:val="24"/>
        </w:rPr>
        <w:t xml:space="preserve">All’interno dei singoli mercati, sono in genere le localizzazioni </w:t>
      </w:r>
      <w:r w:rsidR="009B610A">
        <w:rPr>
          <w:rFonts w:asciiTheme="minorHAnsi" w:eastAsia="Calibri" w:hAnsiTheme="minorHAnsi" w:cstheme="minorHAnsi"/>
          <w:szCs w:val="24"/>
        </w:rPr>
        <w:t>periferiche</w:t>
      </w:r>
      <w:r w:rsidRPr="00C35CC4">
        <w:rPr>
          <w:rFonts w:asciiTheme="minorHAnsi" w:eastAsia="Calibri" w:hAnsiTheme="minorHAnsi" w:cstheme="minorHAnsi"/>
          <w:szCs w:val="24"/>
        </w:rPr>
        <w:t xml:space="preserve"> ad evidenziare</w:t>
      </w:r>
      <w:r w:rsidR="0043545C">
        <w:rPr>
          <w:rFonts w:asciiTheme="minorHAnsi" w:eastAsia="Calibri" w:hAnsiTheme="minorHAnsi" w:cstheme="minorHAnsi"/>
          <w:szCs w:val="24"/>
        </w:rPr>
        <w:t xml:space="preserve"> i</w:t>
      </w:r>
      <w:r w:rsidRPr="00C35CC4">
        <w:rPr>
          <w:rFonts w:asciiTheme="minorHAnsi" w:eastAsia="Calibri" w:hAnsiTheme="minorHAnsi" w:cstheme="minorHAnsi"/>
          <w:szCs w:val="24"/>
        </w:rPr>
        <w:t xml:space="preserve"> segnali di debolezza più </w:t>
      </w:r>
      <w:r w:rsidR="0043545C">
        <w:rPr>
          <w:rFonts w:asciiTheme="minorHAnsi" w:eastAsia="Calibri" w:hAnsiTheme="minorHAnsi" w:cstheme="minorHAnsi"/>
          <w:szCs w:val="24"/>
        </w:rPr>
        <w:t xml:space="preserve">accentuati, con cali medi del </w:t>
      </w:r>
      <w:r w:rsidR="009B610A">
        <w:rPr>
          <w:rFonts w:asciiTheme="minorHAnsi" w:eastAsia="Calibri" w:hAnsiTheme="minorHAnsi" w:cstheme="minorHAnsi"/>
          <w:szCs w:val="24"/>
        </w:rPr>
        <w:t>3</w:t>
      </w:r>
      <w:r w:rsidR="00C35CC4" w:rsidRPr="00C35CC4">
        <w:rPr>
          <w:rFonts w:asciiTheme="minorHAnsi" w:eastAsia="Calibri" w:hAnsiTheme="minorHAnsi" w:cstheme="minorHAnsi"/>
          <w:szCs w:val="24"/>
        </w:rPr>
        <w:t>,</w:t>
      </w:r>
      <w:r w:rsidR="009B610A">
        <w:rPr>
          <w:rFonts w:asciiTheme="minorHAnsi" w:eastAsia="Calibri" w:hAnsiTheme="minorHAnsi" w:cstheme="minorHAnsi"/>
          <w:szCs w:val="24"/>
        </w:rPr>
        <w:t>5</w:t>
      </w:r>
      <w:r w:rsidR="000458CF">
        <w:rPr>
          <w:rFonts w:asciiTheme="minorHAnsi" w:eastAsia="Calibri" w:hAnsiTheme="minorHAnsi" w:cstheme="minorHAnsi"/>
          <w:szCs w:val="24"/>
        </w:rPr>
        <w:t>%,</w:t>
      </w:r>
      <w:r w:rsidR="0043545C">
        <w:rPr>
          <w:rFonts w:asciiTheme="minorHAnsi" w:eastAsia="Calibri" w:hAnsiTheme="minorHAnsi" w:cstheme="minorHAnsi"/>
          <w:szCs w:val="24"/>
        </w:rPr>
        <w:t xml:space="preserve"> ma </w:t>
      </w:r>
      <w:r w:rsidRPr="00C35CC4">
        <w:rPr>
          <w:rFonts w:asciiTheme="minorHAnsi" w:eastAsia="Calibri" w:hAnsiTheme="minorHAnsi" w:cstheme="minorHAnsi"/>
          <w:szCs w:val="24"/>
        </w:rPr>
        <w:t xml:space="preserve">con punte </w:t>
      </w:r>
      <w:r w:rsidR="0043545C">
        <w:rPr>
          <w:rFonts w:asciiTheme="minorHAnsi" w:eastAsia="Calibri" w:hAnsiTheme="minorHAnsi" w:cstheme="minorHAnsi"/>
          <w:szCs w:val="24"/>
        </w:rPr>
        <w:t xml:space="preserve">recessive superiori al </w:t>
      </w:r>
      <w:r w:rsidR="00C35CC4" w:rsidRPr="00C35CC4">
        <w:rPr>
          <w:rFonts w:asciiTheme="minorHAnsi" w:eastAsia="Calibri" w:hAnsiTheme="minorHAnsi" w:cstheme="minorHAnsi"/>
          <w:szCs w:val="24"/>
        </w:rPr>
        <w:t>1</w:t>
      </w:r>
      <w:r w:rsidR="009B610A">
        <w:rPr>
          <w:rFonts w:asciiTheme="minorHAnsi" w:eastAsia="Calibri" w:hAnsiTheme="minorHAnsi" w:cstheme="minorHAnsi"/>
          <w:szCs w:val="24"/>
        </w:rPr>
        <w:t>2</w:t>
      </w:r>
      <w:r w:rsidRPr="00C35CC4">
        <w:rPr>
          <w:rFonts w:asciiTheme="minorHAnsi" w:eastAsia="Calibri" w:hAnsiTheme="minorHAnsi" w:cstheme="minorHAnsi"/>
          <w:szCs w:val="24"/>
        </w:rPr>
        <w:t>%.</w:t>
      </w:r>
    </w:p>
    <w:p w:rsidR="00F23EA6" w:rsidRPr="009D1C10" w:rsidRDefault="00C35CC4" w:rsidP="009D1C10">
      <w:pPr>
        <w:spacing w:line="276" w:lineRule="auto"/>
        <w:rPr>
          <w:rFonts w:asciiTheme="minorHAnsi" w:eastAsia="Calibri" w:hAnsiTheme="minorHAnsi" w:cstheme="minorHAnsi"/>
          <w:szCs w:val="24"/>
        </w:rPr>
      </w:pPr>
      <w:r w:rsidRPr="009D1C10">
        <w:rPr>
          <w:rFonts w:asciiTheme="minorHAnsi" w:eastAsia="Calibri" w:hAnsiTheme="minorHAnsi" w:cstheme="minorHAnsi"/>
          <w:szCs w:val="24"/>
        </w:rPr>
        <w:t>Tengono</w:t>
      </w:r>
      <w:r w:rsidR="000458CF" w:rsidRPr="009D1C10">
        <w:rPr>
          <w:rFonts w:asciiTheme="minorHAnsi" w:eastAsia="Calibri" w:hAnsiTheme="minorHAnsi" w:cstheme="minorHAnsi"/>
          <w:szCs w:val="24"/>
        </w:rPr>
        <w:t xml:space="preserve"> maggiormente</w:t>
      </w:r>
      <w:r w:rsidRPr="009D1C10">
        <w:rPr>
          <w:rFonts w:asciiTheme="minorHAnsi" w:eastAsia="Calibri" w:hAnsiTheme="minorHAnsi" w:cstheme="minorHAnsi"/>
          <w:szCs w:val="24"/>
        </w:rPr>
        <w:t xml:space="preserve"> </w:t>
      </w:r>
      <w:r w:rsidR="002F0AF4" w:rsidRPr="009D1C10">
        <w:rPr>
          <w:rFonts w:asciiTheme="minorHAnsi" w:eastAsia="Calibri" w:hAnsiTheme="minorHAnsi" w:cstheme="minorHAnsi"/>
          <w:szCs w:val="24"/>
        </w:rPr>
        <w:t xml:space="preserve">gli immobili </w:t>
      </w:r>
      <w:r w:rsidR="00284BD6">
        <w:rPr>
          <w:rFonts w:asciiTheme="minorHAnsi" w:eastAsia="Calibri" w:hAnsiTheme="minorHAnsi" w:cstheme="minorHAnsi"/>
          <w:szCs w:val="24"/>
        </w:rPr>
        <w:t>di qualità nelle localizzazioni migliori</w:t>
      </w:r>
      <w:r w:rsidR="002F0AF4" w:rsidRPr="009D1C10">
        <w:rPr>
          <w:rFonts w:asciiTheme="minorHAnsi" w:eastAsia="Calibri" w:hAnsiTheme="minorHAnsi" w:cstheme="minorHAnsi"/>
          <w:szCs w:val="24"/>
        </w:rPr>
        <w:t>, per i quali si regist</w:t>
      </w:r>
      <w:r w:rsidRPr="009D1C10">
        <w:rPr>
          <w:rFonts w:asciiTheme="minorHAnsi" w:eastAsia="Calibri" w:hAnsiTheme="minorHAnsi" w:cstheme="minorHAnsi"/>
          <w:szCs w:val="24"/>
        </w:rPr>
        <w:t xml:space="preserve">ra una flessione media annuale </w:t>
      </w:r>
      <w:r w:rsidR="00284BD6">
        <w:rPr>
          <w:rFonts w:asciiTheme="minorHAnsi" w:eastAsia="Calibri" w:hAnsiTheme="minorHAnsi" w:cstheme="minorHAnsi"/>
          <w:szCs w:val="24"/>
        </w:rPr>
        <w:t>dell’</w:t>
      </w:r>
      <w:r w:rsidR="009D1C10" w:rsidRPr="009D1C10">
        <w:rPr>
          <w:rFonts w:asciiTheme="minorHAnsi" w:eastAsia="Calibri" w:hAnsiTheme="minorHAnsi" w:cstheme="minorHAnsi"/>
          <w:szCs w:val="24"/>
        </w:rPr>
        <w:t>1</w:t>
      </w:r>
      <w:r w:rsidR="002F0AF4" w:rsidRPr="009D1C10">
        <w:rPr>
          <w:rFonts w:asciiTheme="minorHAnsi" w:eastAsia="Calibri" w:hAnsiTheme="minorHAnsi" w:cstheme="minorHAnsi"/>
          <w:szCs w:val="24"/>
        </w:rPr>
        <w:t>,</w:t>
      </w:r>
      <w:r w:rsidR="009D1C10" w:rsidRPr="009D1C10">
        <w:rPr>
          <w:rFonts w:asciiTheme="minorHAnsi" w:eastAsia="Calibri" w:hAnsiTheme="minorHAnsi" w:cstheme="minorHAnsi"/>
          <w:szCs w:val="24"/>
        </w:rPr>
        <w:t>2</w:t>
      </w:r>
      <w:r w:rsidR="00AF06EB" w:rsidRPr="009D1C10">
        <w:rPr>
          <w:rFonts w:asciiTheme="minorHAnsi" w:eastAsia="Calibri" w:hAnsiTheme="minorHAnsi" w:cstheme="minorHAnsi"/>
          <w:szCs w:val="24"/>
        </w:rPr>
        <w:t>%</w:t>
      </w:r>
      <w:r w:rsidR="009D1C10" w:rsidRPr="009D1C10">
        <w:rPr>
          <w:rFonts w:asciiTheme="minorHAnsi" w:eastAsia="Calibri" w:hAnsiTheme="minorHAnsi" w:cstheme="minorHAnsi"/>
          <w:szCs w:val="24"/>
        </w:rPr>
        <w:t>.</w:t>
      </w:r>
    </w:p>
    <w:p w:rsidR="003F450A" w:rsidRPr="003F450A" w:rsidRDefault="003F450A" w:rsidP="00771EF7">
      <w:pPr>
        <w:shd w:val="clear" w:color="auto" w:fill="FFFFFF" w:themeFill="background1"/>
        <w:spacing w:line="276" w:lineRule="auto"/>
        <w:rPr>
          <w:rFonts w:asciiTheme="minorHAnsi" w:eastAsia="Calibri" w:hAnsiTheme="minorHAnsi" w:cstheme="minorHAnsi"/>
          <w:szCs w:val="24"/>
          <w:highlight w:val="yellow"/>
        </w:rPr>
      </w:pPr>
    </w:p>
    <w:p w:rsidR="00AF3CF5" w:rsidRPr="009D1C10" w:rsidRDefault="002F0AF4" w:rsidP="00771EF7">
      <w:pPr>
        <w:shd w:val="clear" w:color="auto" w:fill="FFFFFF" w:themeFill="background1"/>
        <w:spacing w:line="276" w:lineRule="auto"/>
        <w:rPr>
          <w:rFonts w:asciiTheme="minorHAnsi" w:eastAsia="Calibri" w:hAnsiTheme="minorHAnsi" w:cstheme="minorHAnsi"/>
          <w:szCs w:val="24"/>
        </w:rPr>
      </w:pPr>
      <w:r w:rsidRPr="009D1C10">
        <w:rPr>
          <w:rFonts w:asciiTheme="minorHAnsi" w:eastAsia="Calibri" w:hAnsiTheme="minorHAnsi" w:cstheme="minorHAnsi"/>
          <w:szCs w:val="24"/>
        </w:rPr>
        <w:t xml:space="preserve">Dal comparto locativo emergono segnali di </w:t>
      </w:r>
      <w:r w:rsidR="008A6E01" w:rsidRPr="009D1C10">
        <w:rPr>
          <w:rFonts w:asciiTheme="minorHAnsi" w:eastAsia="Calibri" w:hAnsiTheme="minorHAnsi" w:cstheme="minorHAnsi"/>
          <w:szCs w:val="24"/>
        </w:rPr>
        <w:t>maggiore</w:t>
      </w:r>
      <w:r w:rsidRPr="009D1C10">
        <w:rPr>
          <w:rFonts w:asciiTheme="minorHAnsi" w:eastAsia="Calibri" w:hAnsiTheme="minorHAnsi" w:cstheme="minorHAnsi"/>
          <w:szCs w:val="24"/>
        </w:rPr>
        <w:t xml:space="preserve"> stabilità in termini di valori. Il dato medio, sintesi dei canoni richiesti in giugno, luglio e agosto nelle singole località turistiche monitorate, segna un +0,</w:t>
      </w:r>
      <w:r w:rsidR="008A6E01" w:rsidRPr="009D1C10">
        <w:rPr>
          <w:rFonts w:asciiTheme="minorHAnsi" w:eastAsia="Calibri" w:hAnsiTheme="minorHAnsi" w:cstheme="minorHAnsi"/>
          <w:szCs w:val="24"/>
        </w:rPr>
        <w:t>4</w:t>
      </w:r>
      <w:r w:rsidRPr="009D1C10">
        <w:rPr>
          <w:rFonts w:asciiTheme="minorHAnsi" w:eastAsia="Calibri" w:hAnsiTheme="minorHAnsi" w:cstheme="minorHAnsi"/>
          <w:szCs w:val="24"/>
        </w:rPr>
        <w:t xml:space="preserve">% </w:t>
      </w:r>
      <w:r w:rsidR="00284BD6">
        <w:rPr>
          <w:rFonts w:asciiTheme="minorHAnsi" w:eastAsia="Calibri" w:hAnsiTheme="minorHAnsi" w:cstheme="minorHAnsi"/>
          <w:szCs w:val="24"/>
        </w:rPr>
        <w:t>su base annua</w:t>
      </w:r>
      <w:r w:rsidRPr="009D1C10">
        <w:rPr>
          <w:rFonts w:asciiTheme="minorHAnsi" w:eastAsia="Calibri" w:hAnsiTheme="minorHAnsi" w:cstheme="minorHAnsi"/>
          <w:szCs w:val="24"/>
        </w:rPr>
        <w:t>, con un campo di osci</w:t>
      </w:r>
      <w:r w:rsidR="009D1C10">
        <w:rPr>
          <w:rFonts w:asciiTheme="minorHAnsi" w:eastAsia="Calibri" w:hAnsiTheme="minorHAnsi" w:cstheme="minorHAnsi"/>
          <w:szCs w:val="24"/>
        </w:rPr>
        <w:t>llazione compreso tra -0,6% e +1</w:t>
      </w:r>
      <w:r w:rsidRPr="009D1C10">
        <w:rPr>
          <w:rFonts w:asciiTheme="minorHAnsi" w:eastAsia="Calibri" w:hAnsiTheme="minorHAnsi" w:cstheme="minorHAnsi"/>
          <w:szCs w:val="24"/>
        </w:rPr>
        <w:t>,</w:t>
      </w:r>
      <w:r w:rsidR="009D1C10">
        <w:rPr>
          <w:rFonts w:asciiTheme="minorHAnsi" w:eastAsia="Calibri" w:hAnsiTheme="minorHAnsi" w:cstheme="minorHAnsi"/>
          <w:szCs w:val="24"/>
        </w:rPr>
        <w:t>5%</w:t>
      </w:r>
      <w:r w:rsidR="008A6E01" w:rsidRPr="009D1C10">
        <w:rPr>
          <w:rFonts w:asciiTheme="minorHAnsi" w:eastAsia="Calibri" w:hAnsiTheme="minorHAnsi" w:cstheme="minorHAnsi"/>
          <w:szCs w:val="24"/>
        </w:rPr>
        <w:t>.</w:t>
      </w:r>
    </w:p>
    <w:p w:rsidR="002F0AF4" w:rsidRPr="00E93DED" w:rsidRDefault="002F0AF4" w:rsidP="00771EF7">
      <w:pPr>
        <w:shd w:val="clear" w:color="auto" w:fill="FFFFFF" w:themeFill="background1"/>
        <w:spacing w:line="276" w:lineRule="auto"/>
        <w:rPr>
          <w:rFonts w:asciiTheme="minorHAnsi" w:eastAsia="Calibri" w:hAnsiTheme="minorHAnsi" w:cstheme="minorHAnsi"/>
          <w:szCs w:val="24"/>
        </w:rPr>
      </w:pPr>
    </w:p>
    <w:p w:rsidR="00AF3CF5" w:rsidRPr="00E93DED" w:rsidRDefault="002F0AF4" w:rsidP="00C35CC4">
      <w:pPr>
        <w:spacing w:line="276" w:lineRule="auto"/>
        <w:rPr>
          <w:rFonts w:asciiTheme="minorHAnsi" w:eastAsia="Calibri" w:hAnsiTheme="minorHAnsi" w:cstheme="minorHAnsi"/>
          <w:szCs w:val="24"/>
        </w:rPr>
      </w:pPr>
      <w:r w:rsidRPr="00E93DED">
        <w:rPr>
          <w:rFonts w:asciiTheme="minorHAnsi" w:eastAsia="Calibri" w:hAnsiTheme="minorHAnsi" w:cstheme="minorHAnsi"/>
          <w:szCs w:val="24"/>
        </w:rPr>
        <w:t>D</w:t>
      </w:r>
      <w:r w:rsidR="00AF3CF5" w:rsidRPr="00E93DED">
        <w:rPr>
          <w:rFonts w:asciiTheme="minorHAnsi" w:eastAsia="Calibri" w:hAnsiTheme="minorHAnsi" w:cstheme="minorHAnsi"/>
          <w:szCs w:val="24"/>
        </w:rPr>
        <w:t>all’ana</w:t>
      </w:r>
      <w:r w:rsidR="00F23EA6" w:rsidRPr="00E93DED">
        <w:rPr>
          <w:rFonts w:asciiTheme="minorHAnsi" w:eastAsia="Calibri" w:hAnsiTheme="minorHAnsi" w:cstheme="minorHAnsi"/>
          <w:szCs w:val="24"/>
        </w:rPr>
        <w:t>lisi dell’attività transattiva</w:t>
      </w:r>
      <w:r w:rsidR="00A13210" w:rsidRPr="00E93DED">
        <w:rPr>
          <w:rFonts w:asciiTheme="minorHAnsi" w:eastAsia="Calibri" w:hAnsiTheme="minorHAnsi" w:cstheme="minorHAnsi"/>
          <w:szCs w:val="24"/>
        </w:rPr>
        <w:t xml:space="preserve"> delle località analizzate in questo Osservatorio</w:t>
      </w:r>
      <w:r w:rsidR="00C35CC4">
        <w:rPr>
          <w:rFonts w:asciiTheme="minorHAnsi" w:eastAsia="Calibri" w:hAnsiTheme="minorHAnsi" w:cstheme="minorHAnsi"/>
          <w:szCs w:val="24"/>
        </w:rPr>
        <w:t xml:space="preserve">, </w:t>
      </w:r>
      <w:r w:rsidR="008A6E01">
        <w:rPr>
          <w:rFonts w:asciiTheme="minorHAnsi" w:eastAsia="Calibri" w:hAnsiTheme="minorHAnsi" w:cstheme="minorHAnsi"/>
          <w:szCs w:val="24"/>
        </w:rPr>
        <w:t xml:space="preserve">si </w:t>
      </w:r>
      <w:r w:rsidR="00527B68">
        <w:rPr>
          <w:rFonts w:asciiTheme="minorHAnsi" w:eastAsia="Calibri" w:hAnsiTheme="minorHAnsi" w:cstheme="minorHAnsi"/>
          <w:szCs w:val="24"/>
        </w:rPr>
        <w:t xml:space="preserve">trova </w:t>
      </w:r>
      <w:r w:rsidR="008A6E01">
        <w:rPr>
          <w:rFonts w:asciiTheme="minorHAnsi" w:eastAsia="Calibri" w:hAnsiTheme="minorHAnsi" w:cstheme="minorHAnsi"/>
          <w:szCs w:val="24"/>
        </w:rPr>
        <w:t>conferma</w:t>
      </w:r>
      <w:r w:rsidR="00295F1B">
        <w:rPr>
          <w:rFonts w:asciiTheme="minorHAnsi" w:eastAsia="Calibri" w:hAnsiTheme="minorHAnsi" w:cstheme="minorHAnsi"/>
          <w:szCs w:val="24"/>
        </w:rPr>
        <w:t xml:space="preserve"> e irrobustimento della </w:t>
      </w:r>
      <w:r w:rsidRPr="00E93DED">
        <w:rPr>
          <w:rFonts w:asciiTheme="minorHAnsi" w:eastAsia="Calibri" w:hAnsiTheme="minorHAnsi" w:cstheme="minorHAnsi"/>
          <w:szCs w:val="24"/>
        </w:rPr>
        <w:t>tendenza positiva iniziata nel 2014. Dopo il tracollo del 2012 (-26,6%), in corrispondenza della débâcle de</w:t>
      </w:r>
      <w:r w:rsidR="00295F1B">
        <w:rPr>
          <w:rFonts w:asciiTheme="minorHAnsi" w:eastAsia="Calibri" w:hAnsiTheme="minorHAnsi" w:cstheme="minorHAnsi"/>
          <w:szCs w:val="24"/>
        </w:rPr>
        <w:t>l mercato immobiliare nazionale</w:t>
      </w:r>
      <w:r w:rsidRPr="00E93DED">
        <w:rPr>
          <w:rFonts w:asciiTheme="minorHAnsi" w:eastAsia="Calibri" w:hAnsiTheme="minorHAnsi" w:cstheme="minorHAnsi"/>
          <w:szCs w:val="24"/>
        </w:rPr>
        <w:t xml:space="preserve"> e la flessione del 9,0% registrata nel 2013, nel corso del 2014 la tendenza generale si è invertita, facendo segnare </w:t>
      </w:r>
      <w:r w:rsidR="00C35CC4">
        <w:rPr>
          <w:rFonts w:asciiTheme="minorHAnsi" w:eastAsia="Calibri" w:hAnsiTheme="minorHAnsi" w:cstheme="minorHAnsi"/>
          <w:szCs w:val="24"/>
        </w:rPr>
        <w:t>una crescita progressiva delle transazioni che</w:t>
      </w:r>
      <w:r w:rsidR="00295F1B">
        <w:rPr>
          <w:rFonts w:asciiTheme="minorHAnsi" w:eastAsia="Calibri" w:hAnsiTheme="minorHAnsi" w:cstheme="minorHAnsi"/>
          <w:szCs w:val="24"/>
        </w:rPr>
        <w:t xml:space="preserve"> ha </w:t>
      </w:r>
      <w:r w:rsidR="00C35CC4">
        <w:rPr>
          <w:rFonts w:asciiTheme="minorHAnsi" w:eastAsia="Calibri" w:hAnsiTheme="minorHAnsi" w:cstheme="minorHAnsi"/>
          <w:szCs w:val="24"/>
        </w:rPr>
        <w:t>trova</w:t>
      </w:r>
      <w:r w:rsidR="00295F1B">
        <w:rPr>
          <w:rFonts w:asciiTheme="minorHAnsi" w:eastAsia="Calibri" w:hAnsiTheme="minorHAnsi" w:cstheme="minorHAnsi"/>
          <w:szCs w:val="24"/>
        </w:rPr>
        <w:t>to</w:t>
      </w:r>
      <w:r w:rsidR="00C35CC4">
        <w:rPr>
          <w:rFonts w:asciiTheme="minorHAnsi" w:eastAsia="Calibri" w:hAnsiTheme="minorHAnsi" w:cstheme="minorHAnsi"/>
          <w:szCs w:val="24"/>
        </w:rPr>
        <w:t xml:space="preserve"> il suo apice nel </w:t>
      </w:r>
      <w:r w:rsidR="00295F1B">
        <w:rPr>
          <w:rFonts w:asciiTheme="minorHAnsi" w:eastAsia="Calibri" w:hAnsiTheme="minorHAnsi" w:cstheme="minorHAnsi"/>
          <w:szCs w:val="24"/>
        </w:rPr>
        <w:t xml:space="preserve">dato del </w:t>
      </w:r>
      <w:r w:rsidR="00C35CC4">
        <w:rPr>
          <w:rFonts w:asciiTheme="minorHAnsi" w:eastAsia="Calibri" w:hAnsiTheme="minorHAnsi" w:cstheme="minorHAnsi"/>
          <w:szCs w:val="24"/>
        </w:rPr>
        <w:t>2016</w:t>
      </w:r>
      <w:r w:rsidR="00295F1B">
        <w:rPr>
          <w:rFonts w:asciiTheme="minorHAnsi" w:eastAsia="Calibri" w:hAnsiTheme="minorHAnsi" w:cstheme="minorHAnsi"/>
          <w:szCs w:val="24"/>
        </w:rPr>
        <w:t>, pari al +</w:t>
      </w:r>
      <w:r w:rsidR="00C35CC4">
        <w:rPr>
          <w:rFonts w:asciiTheme="minorHAnsi" w:eastAsia="Calibri" w:hAnsiTheme="minorHAnsi" w:cstheme="minorHAnsi"/>
          <w:szCs w:val="24"/>
        </w:rPr>
        <w:t>20,2%</w:t>
      </w:r>
      <w:r w:rsidR="000458CF">
        <w:rPr>
          <w:rFonts w:asciiTheme="minorHAnsi" w:eastAsia="Calibri" w:hAnsiTheme="minorHAnsi" w:cstheme="minorHAnsi"/>
          <w:szCs w:val="24"/>
        </w:rPr>
        <w:t>.</w:t>
      </w:r>
    </w:p>
    <w:p w:rsidR="008A6E01" w:rsidRDefault="008A6E01" w:rsidP="00C35CC4">
      <w:pPr>
        <w:spacing w:line="276" w:lineRule="auto"/>
        <w:rPr>
          <w:rFonts w:asciiTheme="minorHAnsi" w:eastAsia="Calibri" w:hAnsiTheme="minorHAnsi" w:cstheme="minorHAnsi"/>
          <w:szCs w:val="24"/>
        </w:rPr>
      </w:pPr>
    </w:p>
    <w:p w:rsidR="00C35CC4" w:rsidRDefault="00A337CE" w:rsidP="00C35CC4">
      <w:pPr>
        <w:spacing w:line="276" w:lineRule="auto"/>
        <w:rPr>
          <w:rFonts w:asciiTheme="minorHAnsi" w:eastAsia="Calibri" w:hAnsiTheme="minorHAnsi" w:cstheme="minorHAnsi"/>
          <w:szCs w:val="24"/>
        </w:rPr>
      </w:pPr>
      <w:r w:rsidRPr="00E93DED">
        <w:rPr>
          <w:rFonts w:asciiTheme="minorHAnsi" w:eastAsia="Calibri" w:hAnsiTheme="minorHAnsi" w:cstheme="minorHAnsi"/>
          <w:szCs w:val="24"/>
        </w:rPr>
        <w:t xml:space="preserve">In conclusione, </w:t>
      </w:r>
      <w:r w:rsidR="00EB3AE3" w:rsidRPr="00E93DED">
        <w:rPr>
          <w:rFonts w:asciiTheme="minorHAnsi" w:eastAsia="Calibri" w:hAnsiTheme="minorHAnsi" w:cstheme="minorHAnsi"/>
          <w:szCs w:val="24"/>
        </w:rPr>
        <w:t xml:space="preserve">nel corso del </w:t>
      </w:r>
      <w:r w:rsidR="00C35CC4">
        <w:rPr>
          <w:rFonts w:asciiTheme="minorHAnsi" w:eastAsia="Calibri" w:hAnsiTheme="minorHAnsi" w:cstheme="minorHAnsi"/>
          <w:szCs w:val="24"/>
        </w:rPr>
        <w:t>20</w:t>
      </w:r>
      <w:r w:rsidR="00EB3AE3" w:rsidRPr="00E93DED">
        <w:rPr>
          <w:rFonts w:asciiTheme="minorHAnsi" w:eastAsia="Calibri" w:hAnsiTheme="minorHAnsi" w:cstheme="minorHAnsi"/>
          <w:szCs w:val="24"/>
        </w:rPr>
        <w:t>16</w:t>
      </w:r>
      <w:r w:rsidR="00C35CC4">
        <w:rPr>
          <w:rFonts w:asciiTheme="minorHAnsi" w:eastAsia="Calibri" w:hAnsiTheme="minorHAnsi" w:cstheme="minorHAnsi"/>
          <w:szCs w:val="24"/>
        </w:rPr>
        <w:t>-2017</w:t>
      </w:r>
      <w:r w:rsidR="00EB3AE3" w:rsidRPr="00E93DED">
        <w:rPr>
          <w:rFonts w:asciiTheme="minorHAnsi" w:eastAsia="Calibri" w:hAnsiTheme="minorHAnsi" w:cstheme="minorHAnsi"/>
          <w:szCs w:val="24"/>
        </w:rPr>
        <w:t xml:space="preserve"> </w:t>
      </w:r>
      <w:r w:rsidR="008A6E01">
        <w:rPr>
          <w:rFonts w:asciiTheme="minorHAnsi" w:eastAsia="Calibri" w:hAnsiTheme="minorHAnsi" w:cstheme="minorHAnsi"/>
          <w:szCs w:val="24"/>
        </w:rPr>
        <w:t>si è ulteriormente consolidato</w:t>
      </w:r>
      <w:r w:rsidR="00EB3AE3" w:rsidRPr="00E93DED">
        <w:rPr>
          <w:rFonts w:asciiTheme="minorHAnsi" w:eastAsia="Calibri" w:hAnsiTheme="minorHAnsi" w:cstheme="minorHAnsi"/>
          <w:szCs w:val="24"/>
        </w:rPr>
        <w:t xml:space="preserve"> il recupero del mercato immobiliare anche nelle località turistiche, seppure in un quadro di perdurante fragilità e incertezza che rende difficile il contagio</w:t>
      </w:r>
      <w:r w:rsidR="00D1515D">
        <w:rPr>
          <w:rFonts w:asciiTheme="minorHAnsi" w:eastAsia="Calibri" w:hAnsiTheme="minorHAnsi" w:cstheme="minorHAnsi"/>
          <w:szCs w:val="24"/>
        </w:rPr>
        <w:t xml:space="preserve"> della ripresa</w:t>
      </w:r>
      <w:r w:rsidR="00EB3AE3" w:rsidRPr="00E93DED">
        <w:rPr>
          <w:rFonts w:asciiTheme="minorHAnsi" w:eastAsia="Calibri" w:hAnsiTheme="minorHAnsi" w:cstheme="minorHAnsi"/>
          <w:szCs w:val="24"/>
        </w:rPr>
        <w:t xml:space="preserve"> ai valori di mercato ed espone i contesti territoriali meno rinomati al rischio di </w:t>
      </w:r>
      <w:r w:rsidR="00D1515D">
        <w:rPr>
          <w:rFonts w:asciiTheme="minorHAnsi" w:eastAsia="Calibri" w:hAnsiTheme="minorHAnsi" w:cstheme="minorHAnsi"/>
          <w:szCs w:val="24"/>
        </w:rPr>
        <w:t xml:space="preserve">perdurante debolezza e </w:t>
      </w:r>
      <w:r w:rsidR="00EB3AE3" w:rsidRPr="00E93DED">
        <w:rPr>
          <w:rFonts w:asciiTheme="minorHAnsi" w:eastAsia="Calibri" w:hAnsiTheme="minorHAnsi" w:cstheme="minorHAnsi"/>
          <w:szCs w:val="24"/>
        </w:rPr>
        <w:t>ricadute</w:t>
      </w:r>
      <w:r w:rsidRPr="00E93DED">
        <w:rPr>
          <w:rFonts w:asciiTheme="minorHAnsi" w:eastAsia="Calibri" w:hAnsiTheme="minorHAnsi" w:cstheme="minorHAnsi"/>
          <w:szCs w:val="24"/>
        </w:rPr>
        <w:t>.</w:t>
      </w:r>
    </w:p>
    <w:p w:rsidR="004B5739" w:rsidRPr="00A337CE" w:rsidRDefault="000458CF" w:rsidP="000458CF">
      <w:pPr>
        <w:spacing w:line="276" w:lineRule="auto"/>
        <w:rPr>
          <w:rFonts w:asciiTheme="minorHAnsi" w:eastAsia="Calibri" w:hAnsiTheme="minorHAnsi" w:cstheme="minorHAnsi"/>
          <w:szCs w:val="24"/>
        </w:rPr>
      </w:pPr>
      <w:r>
        <w:rPr>
          <w:rFonts w:asciiTheme="minorHAnsi" w:eastAsia="Calibri" w:hAnsiTheme="minorHAnsi" w:cstheme="minorHAnsi"/>
          <w:szCs w:val="24"/>
        </w:rPr>
        <w:t>In questo contesto,</w:t>
      </w:r>
      <w:r w:rsidR="00D1515D">
        <w:rPr>
          <w:rFonts w:asciiTheme="minorHAnsi" w:eastAsia="Calibri" w:hAnsiTheme="minorHAnsi" w:cstheme="minorHAnsi"/>
          <w:szCs w:val="24"/>
        </w:rPr>
        <w:t xml:space="preserve"> solo</w:t>
      </w:r>
      <w:r w:rsidR="00EB3AE3" w:rsidRPr="00E93DED">
        <w:rPr>
          <w:rFonts w:asciiTheme="minorHAnsi" w:eastAsia="Calibri" w:hAnsiTheme="minorHAnsi" w:cstheme="minorHAnsi"/>
          <w:szCs w:val="24"/>
        </w:rPr>
        <w:t xml:space="preserve"> a partire da</w:t>
      </w:r>
      <w:r>
        <w:rPr>
          <w:rFonts w:asciiTheme="minorHAnsi" w:eastAsia="Calibri" w:hAnsiTheme="minorHAnsi" w:cstheme="minorHAnsi"/>
          <w:szCs w:val="24"/>
        </w:rPr>
        <w:t>i</w:t>
      </w:r>
      <w:r w:rsidR="00EB3AE3" w:rsidRPr="00E93DED">
        <w:rPr>
          <w:rFonts w:asciiTheme="minorHAnsi" w:eastAsia="Calibri" w:hAnsiTheme="minorHAnsi" w:cstheme="minorHAnsi"/>
          <w:szCs w:val="24"/>
        </w:rPr>
        <w:t xml:space="preserve"> prossim</w:t>
      </w:r>
      <w:r>
        <w:rPr>
          <w:rFonts w:asciiTheme="minorHAnsi" w:eastAsia="Calibri" w:hAnsiTheme="minorHAnsi" w:cstheme="minorHAnsi"/>
          <w:szCs w:val="24"/>
        </w:rPr>
        <w:t xml:space="preserve">i anni </w:t>
      </w:r>
      <w:r w:rsidR="00EB3AE3" w:rsidRPr="00E93DED">
        <w:rPr>
          <w:rFonts w:asciiTheme="minorHAnsi" w:eastAsia="Calibri" w:hAnsiTheme="minorHAnsi" w:cstheme="minorHAnsi"/>
          <w:szCs w:val="24"/>
        </w:rPr>
        <w:t>è lecito attendersi indicazioni di</w:t>
      </w:r>
      <w:r w:rsidR="00D1515D">
        <w:rPr>
          <w:rFonts w:asciiTheme="minorHAnsi" w:eastAsia="Calibri" w:hAnsiTheme="minorHAnsi" w:cstheme="minorHAnsi"/>
          <w:szCs w:val="24"/>
        </w:rPr>
        <w:t xml:space="preserve"> completo e definitivo</w:t>
      </w:r>
      <w:r w:rsidR="00EB3AE3" w:rsidRPr="00E93DED">
        <w:rPr>
          <w:rFonts w:asciiTheme="minorHAnsi" w:eastAsia="Calibri" w:hAnsiTheme="minorHAnsi" w:cstheme="minorHAnsi"/>
          <w:szCs w:val="24"/>
        </w:rPr>
        <w:t xml:space="preserve"> superamento della crisi, che si manifesteranno, come accade oggi nei mercati urbani maggiori, prima con un’ulteriore intensificazione </w:t>
      </w:r>
      <w:r>
        <w:rPr>
          <w:rFonts w:asciiTheme="minorHAnsi" w:eastAsia="Calibri" w:hAnsiTheme="minorHAnsi" w:cstheme="minorHAnsi"/>
          <w:szCs w:val="24"/>
        </w:rPr>
        <w:t>della domanda</w:t>
      </w:r>
      <w:r w:rsidR="008A6E01">
        <w:rPr>
          <w:rFonts w:asciiTheme="minorHAnsi" w:eastAsia="Calibri" w:hAnsiTheme="minorHAnsi" w:cstheme="minorHAnsi"/>
          <w:szCs w:val="24"/>
        </w:rPr>
        <w:t xml:space="preserve"> e delle transazioni</w:t>
      </w:r>
      <w:r>
        <w:rPr>
          <w:rFonts w:asciiTheme="minorHAnsi" w:eastAsia="Calibri" w:hAnsiTheme="minorHAnsi" w:cstheme="minorHAnsi"/>
          <w:szCs w:val="24"/>
        </w:rPr>
        <w:t xml:space="preserve"> </w:t>
      </w:r>
      <w:r w:rsidR="00EB3AE3" w:rsidRPr="00E93DED">
        <w:rPr>
          <w:rFonts w:asciiTheme="minorHAnsi" w:eastAsia="Calibri" w:hAnsiTheme="minorHAnsi" w:cstheme="minorHAnsi"/>
          <w:szCs w:val="24"/>
        </w:rPr>
        <w:t>e, in un secondo tempo, con un’inversione di tendenza di prezzi e canoni.</w:t>
      </w:r>
    </w:p>
    <w:p w:rsidR="00073B14" w:rsidRPr="00B25BF8" w:rsidRDefault="00073B14" w:rsidP="00BC4B97">
      <w:pPr>
        <w:rPr>
          <w:rFonts w:asciiTheme="minorHAnsi" w:hAnsiTheme="minorHAnsi"/>
          <w:szCs w:val="28"/>
        </w:rPr>
      </w:pPr>
      <w:r w:rsidRPr="00B25BF8">
        <w:rPr>
          <w:rFonts w:asciiTheme="minorHAnsi" w:hAnsiTheme="minorHAnsi"/>
          <w:szCs w:val="28"/>
        </w:rPr>
        <w:br w:type="page"/>
      </w:r>
    </w:p>
    <w:p w:rsidR="00B74650" w:rsidRPr="00A02EB4" w:rsidRDefault="002D3762" w:rsidP="00AE50F2">
      <w:pPr>
        <w:tabs>
          <w:tab w:val="left" w:pos="357"/>
        </w:tabs>
        <w:suppressAutoHyphens/>
        <w:rPr>
          <w:rFonts w:asciiTheme="minorHAnsi" w:hAnsiTheme="minorHAnsi"/>
          <w:b/>
          <w:sz w:val="28"/>
          <w:szCs w:val="28"/>
        </w:rPr>
      </w:pPr>
      <w:r w:rsidRPr="00A02EB4">
        <w:rPr>
          <w:rFonts w:asciiTheme="minorHAnsi" w:hAnsiTheme="minorHAnsi"/>
          <w:b/>
          <w:sz w:val="28"/>
          <w:szCs w:val="28"/>
        </w:rPr>
        <w:lastRenderedPageBreak/>
        <w:t>I</w:t>
      </w:r>
      <w:r w:rsidR="00AE50F2" w:rsidRPr="00A02EB4">
        <w:rPr>
          <w:rFonts w:asciiTheme="minorHAnsi" w:hAnsiTheme="minorHAnsi"/>
          <w:b/>
          <w:sz w:val="28"/>
          <w:szCs w:val="28"/>
        </w:rPr>
        <w:t>l mercato immobiliare in Italia</w:t>
      </w:r>
    </w:p>
    <w:p w:rsidR="00AE50F2" w:rsidRPr="006344E1" w:rsidRDefault="00AE50F2" w:rsidP="00364602">
      <w:pPr>
        <w:rPr>
          <w:rFonts w:asciiTheme="minorHAnsi" w:eastAsia="Calibri" w:hAnsiTheme="minorHAnsi" w:cstheme="minorHAnsi"/>
          <w:sz w:val="22"/>
          <w:szCs w:val="24"/>
        </w:rPr>
      </w:pPr>
    </w:p>
    <w:p w:rsidR="005F14C8" w:rsidRPr="006A383C" w:rsidRDefault="005F14C8" w:rsidP="005F14C8">
      <w:pPr>
        <w:suppressAutoHyphens/>
        <w:rPr>
          <w:rFonts w:asciiTheme="minorHAnsi" w:eastAsia="Calibri" w:hAnsiTheme="minorHAnsi" w:cstheme="minorHAnsi"/>
          <w:spacing w:val="-4"/>
          <w:sz w:val="22"/>
          <w:szCs w:val="22"/>
        </w:rPr>
      </w:pPr>
      <w:r w:rsidRPr="006A383C">
        <w:rPr>
          <w:rFonts w:asciiTheme="minorHAnsi" w:eastAsia="Calibri" w:hAnsiTheme="minorHAnsi" w:cstheme="minorHAnsi"/>
          <w:spacing w:val="-4"/>
          <w:sz w:val="22"/>
          <w:szCs w:val="22"/>
        </w:rPr>
        <w:t xml:space="preserve">Il mercato immobiliare italiano è soggetto a spinte contrapposte. Da una parte, il fabbisogno primario delle famiglie che, esaurita la crisi, sono tornate a manifestare in maniera </w:t>
      </w:r>
      <w:r w:rsidR="00B9680F">
        <w:rPr>
          <w:rFonts w:asciiTheme="minorHAnsi" w:eastAsia="Calibri" w:hAnsiTheme="minorHAnsi" w:cstheme="minorHAnsi"/>
          <w:spacing w:val="-4"/>
          <w:sz w:val="22"/>
          <w:szCs w:val="22"/>
        </w:rPr>
        <w:t>significativa</w:t>
      </w:r>
      <w:r w:rsidRPr="006A383C">
        <w:rPr>
          <w:rFonts w:asciiTheme="minorHAnsi" w:eastAsia="Calibri" w:hAnsiTheme="minorHAnsi" w:cstheme="minorHAnsi"/>
          <w:spacing w:val="-4"/>
          <w:sz w:val="22"/>
          <w:szCs w:val="22"/>
        </w:rPr>
        <w:t xml:space="preserve"> la propria propensione all’acquisto, dall’altra, il permanere dell’eccesso di offerta accumulatosi negli anni e la progressiva attenuazione della rigidità delle aspettative di realizzo dei soggetti esposti verso il settore (banche, imprese e famiglie).</w:t>
      </w:r>
    </w:p>
    <w:p w:rsidR="005F14C8" w:rsidRDefault="005F14C8" w:rsidP="005F14C8">
      <w:pPr>
        <w:suppressAutoHyphens/>
        <w:rPr>
          <w:rFonts w:asciiTheme="minorHAnsi" w:eastAsia="Calibri" w:hAnsiTheme="minorHAnsi" w:cstheme="minorHAnsi"/>
          <w:spacing w:val="-4"/>
          <w:sz w:val="22"/>
          <w:szCs w:val="22"/>
        </w:rPr>
      </w:pPr>
      <w:r w:rsidRPr="006A383C">
        <w:rPr>
          <w:rFonts w:asciiTheme="minorHAnsi" w:eastAsia="Calibri" w:hAnsiTheme="minorHAnsi" w:cstheme="minorHAnsi"/>
          <w:spacing w:val="-4"/>
          <w:sz w:val="22"/>
          <w:szCs w:val="22"/>
        </w:rPr>
        <w:t>Il fardello degli eccessi del passato rappresenta, nello specifico, il principale ostacolo all’innesco di dinamiche inflattive che la pressione della domanda dovrebbe contribuire ad alimentare. L’entità delle manifestazioni di interesse all’acquisto registrata nell’ultimo triennio, pur favorendo l’attivazione di meccanismi competitivi, non risulta ad oggi sufficiente a determinare l’avvio di una nuova fase espansiva sul versante dei valori.</w:t>
      </w:r>
    </w:p>
    <w:p w:rsidR="00B9680F" w:rsidRDefault="00B9680F" w:rsidP="005F14C8">
      <w:pPr>
        <w:suppressAutoHyphens/>
        <w:rPr>
          <w:rFonts w:asciiTheme="minorHAnsi" w:eastAsia="Calibri" w:hAnsiTheme="minorHAnsi" w:cstheme="minorHAnsi"/>
          <w:spacing w:val="-4"/>
          <w:sz w:val="22"/>
          <w:szCs w:val="22"/>
        </w:rPr>
      </w:pPr>
      <w:r w:rsidRPr="00EE7E50">
        <w:rPr>
          <w:rFonts w:asciiTheme="minorHAnsi" w:eastAsia="Calibri" w:hAnsiTheme="minorHAnsi" w:cstheme="minorHAnsi"/>
          <w:spacing w:val="-4"/>
          <w:sz w:val="22"/>
          <w:szCs w:val="22"/>
        </w:rPr>
        <w:t>Ad agire in chiave contenitiva, oltre ai fattori citati, concorre una composizione della domanda che tradisce una diffusa debolezza reddituale. La modestia della componente di investimento, associata alla massiccia dipendenza da mutuo, impediscono di fatto la risalita dei prezzi. Al proposito, se si considera che quasi il 40% delle famiglie che intendono richiedere un finanziamento per accedere alla proprietà vanta un reddito famigliare netto inferiore a 1.800 euro al mese, appare di tutta evidenza l</w:t>
      </w:r>
      <w:r w:rsidR="001A7245">
        <w:rPr>
          <w:rFonts w:asciiTheme="minorHAnsi" w:eastAsia="Calibri" w:hAnsiTheme="minorHAnsi" w:cstheme="minorHAnsi"/>
          <w:spacing w:val="-4"/>
          <w:sz w:val="22"/>
          <w:szCs w:val="22"/>
        </w:rPr>
        <w:t>a difficoltà</w:t>
      </w:r>
      <w:r w:rsidRPr="00EE7E50">
        <w:rPr>
          <w:rFonts w:asciiTheme="minorHAnsi" w:eastAsia="Calibri" w:hAnsiTheme="minorHAnsi" w:cstheme="minorHAnsi"/>
          <w:spacing w:val="-4"/>
          <w:sz w:val="22"/>
          <w:szCs w:val="22"/>
        </w:rPr>
        <w:t xml:space="preserve"> di concretizzazione di una quota significativa del mercato potenziale.</w:t>
      </w:r>
    </w:p>
    <w:p w:rsidR="00B9680F" w:rsidRPr="006A383C" w:rsidRDefault="00B9680F" w:rsidP="005F14C8">
      <w:pPr>
        <w:suppressAutoHyphens/>
        <w:rPr>
          <w:rFonts w:asciiTheme="minorHAnsi" w:eastAsia="Calibri" w:hAnsiTheme="minorHAnsi" w:cstheme="minorHAnsi"/>
          <w:spacing w:val="-4"/>
          <w:sz w:val="22"/>
          <w:szCs w:val="22"/>
        </w:rPr>
      </w:pPr>
    </w:p>
    <w:p w:rsidR="005F14C8" w:rsidRPr="007D1EDF" w:rsidRDefault="005F14C8" w:rsidP="00003318">
      <w:pPr>
        <w:rPr>
          <w:rFonts w:asciiTheme="minorHAnsi" w:eastAsia="Calibri" w:hAnsiTheme="minorHAnsi" w:cstheme="minorHAnsi"/>
          <w:spacing w:val="-4"/>
          <w:sz w:val="22"/>
          <w:szCs w:val="22"/>
        </w:rPr>
      </w:pPr>
    </w:p>
    <w:tbl>
      <w:tblPr>
        <w:tblW w:w="5000" w:type="pct"/>
        <w:tblCellMar>
          <w:left w:w="71" w:type="dxa"/>
          <w:right w:w="71" w:type="dxa"/>
        </w:tblCellMar>
        <w:tblLook w:val="0000" w:firstRow="0" w:lastRow="0" w:firstColumn="0" w:lastColumn="0" w:noHBand="0" w:noVBand="0"/>
      </w:tblPr>
      <w:tblGrid>
        <w:gridCol w:w="4785"/>
        <w:gridCol w:w="211"/>
        <w:gridCol w:w="4784"/>
      </w:tblGrid>
      <w:tr w:rsidR="00A02EB4" w:rsidRPr="00B937A0" w:rsidTr="00F34283">
        <w:trPr>
          <w:trHeight w:val="81"/>
        </w:trPr>
        <w:tc>
          <w:tcPr>
            <w:tcW w:w="2446" w:type="pct"/>
            <w:tcBorders>
              <w:bottom w:val="single" w:sz="8" w:space="0" w:color="0000FF"/>
            </w:tcBorders>
          </w:tcPr>
          <w:p w:rsidR="00A02EB4" w:rsidRPr="005E16C0" w:rsidRDefault="00A02EB4" w:rsidP="005E16C0">
            <w:pPr>
              <w:pStyle w:val="testo2"/>
              <w:widowControl/>
              <w:suppressAutoHyphens/>
              <w:spacing w:before="0" w:line="240" w:lineRule="auto"/>
              <w:jc w:val="right"/>
              <w:rPr>
                <w:rFonts w:asciiTheme="minorHAnsi" w:hAnsiTheme="minorHAnsi" w:cstheme="minorHAnsi"/>
                <w:sz w:val="20"/>
                <w:szCs w:val="18"/>
              </w:rPr>
            </w:pPr>
            <w:r w:rsidRPr="005E16C0">
              <w:rPr>
                <w:rFonts w:asciiTheme="minorHAnsi" w:hAnsiTheme="minorHAnsi" w:cstheme="minorHAnsi"/>
                <w:sz w:val="20"/>
                <w:szCs w:val="18"/>
              </w:rPr>
              <w:t>Figura 1</w:t>
            </w:r>
          </w:p>
          <w:p w:rsidR="00A02EB4" w:rsidRPr="00B937A0" w:rsidRDefault="005E16C0" w:rsidP="005F14C8">
            <w:pPr>
              <w:widowControl w:val="0"/>
              <w:suppressAutoHyphens/>
              <w:spacing w:after="40"/>
              <w:jc w:val="center"/>
              <w:rPr>
                <w:rFonts w:asciiTheme="minorHAnsi" w:hAnsiTheme="minorHAnsi" w:cstheme="minorHAnsi"/>
                <w:b/>
                <w:color w:val="0000FF"/>
                <w:sz w:val="20"/>
                <w:szCs w:val="18"/>
              </w:rPr>
            </w:pPr>
            <w:r w:rsidRPr="00CE58C8">
              <w:rPr>
                <w:rFonts w:asciiTheme="minorHAnsi" w:hAnsiTheme="minorHAnsi" w:cstheme="minorHAnsi"/>
                <w:b/>
                <w:color w:val="0000FF"/>
                <w:sz w:val="20"/>
              </w:rPr>
              <w:t>Intenzione di acqui</w:t>
            </w:r>
            <w:r>
              <w:rPr>
                <w:rFonts w:asciiTheme="minorHAnsi" w:hAnsiTheme="minorHAnsi" w:cstheme="minorHAnsi"/>
                <w:b/>
                <w:color w:val="0000FF"/>
                <w:sz w:val="20"/>
              </w:rPr>
              <w:t>stare un’abitazione</w:t>
            </w:r>
            <w:r>
              <w:rPr>
                <w:rFonts w:asciiTheme="minorHAnsi" w:hAnsiTheme="minorHAnsi" w:cstheme="minorHAnsi"/>
                <w:b/>
                <w:color w:val="0000FF"/>
                <w:sz w:val="20"/>
              </w:rPr>
              <w:br/>
            </w:r>
            <w:r w:rsidRPr="00CE58C8">
              <w:rPr>
                <w:rFonts w:asciiTheme="minorHAnsi" w:hAnsiTheme="minorHAnsi" w:cstheme="minorHAnsi"/>
                <w:b/>
                <w:color w:val="0000FF"/>
                <w:sz w:val="20"/>
              </w:rPr>
              <w:t>nei prossimi 12 mesi</w:t>
            </w:r>
            <w:r>
              <w:rPr>
                <w:rFonts w:asciiTheme="minorHAnsi" w:hAnsiTheme="minorHAnsi" w:cstheme="minorHAnsi"/>
                <w:b/>
                <w:color w:val="0000FF"/>
                <w:sz w:val="20"/>
              </w:rPr>
              <w:br/>
            </w:r>
            <w:r w:rsidRPr="00CE58C8">
              <w:rPr>
                <w:rFonts w:asciiTheme="minorHAnsi" w:hAnsiTheme="minorHAnsi" w:cstheme="minorHAnsi"/>
                <w:i/>
                <w:color w:val="0000FF"/>
                <w:sz w:val="20"/>
              </w:rPr>
              <w:t>(</w:t>
            </w:r>
            <w:r w:rsidR="005F14C8" w:rsidRPr="00054E4F">
              <w:rPr>
                <w:rFonts w:ascii="Calibri" w:hAnsi="Calibri" w:cs="Calibri"/>
                <w:i/>
                <w:color w:val="0000FF"/>
                <w:sz w:val="20"/>
              </w:rPr>
              <w:t>migliaia</w:t>
            </w:r>
            <w:r w:rsidR="005F14C8">
              <w:rPr>
                <w:rFonts w:asciiTheme="minorHAnsi" w:hAnsiTheme="minorHAnsi" w:cstheme="minorHAnsi"/>
                <w:i/>
                <w:color w:val="0000FF"/>
                <w:sz w:val="20"/>
              </w:rPr>
              <w:t xml:space="preserve"> </w:t>
            </w:r>
            <w:r>
              <w:rPr>
                <w:rFonts w:asciiTheme="minorHAnsi" w:hAnsiTheme="minorHAnsi" w:cstheme="minorHAnsi"/>
                <w:i/>
                <w:color w:val="0000FF"/>
                <w:sz w:val="20"/>
              </w:rPr>
              <w:t>di</w:t>
            </w:r>
            <w:r w:rsidRPr="00CE58C8">
              <w:rPr>
                <w:rFonts w:asciiTheme="minorHAnsi" w:hAnsiTheme="minorHAnsi" w:cstheme="minorHAnsi"/>
                <w:i/>
                <w:color w:val="0000FF"/>
                <w:sz w:val="20"/>
              </w:rPr>
              <w:t xml:space="preserve"> famiglie)</w:t>
            </w:r>
          </w:p>
        </w:tc>
        <w:tc>
          <w:tcPr>
            <w:tcW w:w="108" w:type="pct"/>
          </w:tcPr>
          <w:p w:rsidR="00A02EB4" w:rsidRPr="00B937A0" w:rsidRDefault="00A02EB4" w:rsidP="00F34283">
            <w:pPr>
              <w:pStyle w:val="testo2"/>
              <w:widowControl/>
              <w:suppressAutoHyphens/>
              <w:spacing w:before="0" w:line="240" w:lineRule="auto"/>
              <w:jc w:val="right"/>
              <w:rPr>
                <w:rFonts w:asciiTheme="minorHAnsi" w:hAnsiTheme="minorHAnsi" w:cstheme="minorHAnsi"/>
                <w:sz w:val="20"/>
                <w:szCs w:val="18"/>
              </w:rPr>
            </w:pPr>
          </w:p>
        </w:tc>
        <w:tc>
          <w:tcPr>
            <w:tcW w:w="2446" w:type="pct"/>
            <w:tcBorders>
              <w:bottom w:val="single" w:sz="8" w:space="0" w:color="0000FF"/>
            </w:tcBorders>
          </w:tcPr>
          <w:p w:rsidR="00A02EB4" w:rsidRPr="005E16C0" w:rsidRDefault="00A02EB4" w:rsidP="005E16C0">
            <w:pPr>
              <w:pStyle w:val="testo2"/>
              <w:widowControl/>
              <w:suppressAutoHyphens/>
              <w:spacing w:before="0" w:line="240" w:lineRule="auto"/>
              <w:jc w:val="right"/>
              <w:rPr>
                <w:rFonts w:asciiTheme="minorHAnsi" w:hAnsiTheme="minorHAnsi" w:cstheme="minorHAnsi"/>
                <w:sz w:val="20"/>
                <w:szCs w:val="18"/>
              </w:rPr>
            </w:pPr>
            <w:r w:rsidRPr="005E16C0">
              <w:rPr>
                <w:rFonts w:asciiTheme="minorHAnsi" w:hAnsiTheme="minorHAnsi" w:cstheme="minorHAnsi"/>
                <w:sz w:val="20"/>
                <w:szCs w:val="18"/>
              </w:rPr>
              <w:t>Figura 2</w:t>
            </w:r>
          </w:p>
          <w:p w:rsidR="00A02EB4" w:rsidRPr="00B937A0" w:rsidRDefault="005E16C0" w:rsidP="007D1EDF">
            <w:pPr>
              <w:widowControl w:val="0"/>
              <w:suppressAutoHyphens/>
              <w:spacing w:after="40"/>
              <w:jc w:val="center"/>
              <w:rPr>
                <w:rFonts w:asciiTheme="minorHAnsi" w:hAnsiTheme="minorHAnsi" w:cstheme="minorHAnsi"/>
                <w:b/>
                <w:color w:val="0000FF"/>
                <w:sz w:val="20"/>
                <w:szCs w:val="18"/>
              </w:rPr>
            </w:pPr>
            <w:r w:rsidRPr="00CE58C8">
              <w:rPr>
                <w:rFonts w:asciiTheme="minorHAnsi" w:eastAsia="Calibri" w:hAnsiTheme="minorHAnsi" w:cs="Arial"/>
                <w:b/>
                <w:bCs/>
                <w:color w:val="0000FF"/>
                <w:sz w:val="20"/>
                <w:lang w:eastAsia="en-US"/>
              </w:rPr>
              <w:t>Tipologia d</w:t>
            </w:r>
            <w:r>
              <w:rPr>
                <w:rFonts w:asciiTheme="minorHAnsi" w:eastAsia="Calibri" w:hAnsiTheme="minorHAnsi" w:cs="Arial"/>
                <w:b/>
                <w:bCs/>
                <w:color w:val="0000FF"/>
                <w:sz w:val="20"/>
                <w:lang w:eastAsia="en-US"/>
              </w:rPr>
              <w:t>i utilizzo per coloro che hanno</w:t>
            </w:r>
            <w:r w:rsidR="00003318">
              <w:rPr>
                <w:rFonts w:asciiTheme="minorHAnsi" w:eastAsia="Calibri" w:hAnsiTheme="minorHAnsi" w:cs="Arial"/>
                <w:b/>
                <w:bCs/>
                <w:color w:val="0000FF"/>
                <w:sz w:val="20"/>
                <w:lang w:eastAsia="en-US"/>
              </w:rPr>
              <w:t xml:space="preserve"> </w:t>
            </w:r>
            <w:r>
              <w:rPr>
                <w:rFonts w:asciiTheme="minorHAnsi" w:eastAsia="Calibri" w:hAnsiTheme="minorHAnsi" w:cs="Arial"/>
                <w:b/>
                <w:bCs/>
                <w:color w:val="0000FF"/>
                <w:sz w:val="20"/>
                <w:lang w:eastAsia="en-US"/>
              </w:rPr>
              <w:br/>
            </w:r>
            <w:r w:rsidRPr="00CE58C8">
              <w:rPr>
                <w:rFonts w:asciiTheme="minorHAnsi" w:eastAsia="Calibri" w:hAnsiTheme="minorHAnsi" w:cs="Arial"/>
                <w:b/>
                <w:bCs/>
                <w:color w:val="0000FF"/>
                <w:sz w:val="20"/>
                <w:lang w:eastAsia="en-US"/>
              </w:rPr>
              <w:t>intenzione di acquistare un'abitazione</w:t>
            </w:r>
            <w:r>
              <w:rPr>
                <w:rFonts w:asciiTheme="minorHAnsi" w:hAnsiTheme="minorHAnsi" w:cstheme="minorHAnsi"/>
                <w:b/>
                <w:sz w:val="20"/>
              </w:rPr>
              <w:br/>
            </w:r>
            <w:r w:rsidRPr="00CE58C8">
              <w:rPr>
                <w:rFonts w:asciiTheme="minorHAnsi" w:hAnsiTheme="minorHAnsi" w:cs="Arial"/>
                <w:i/>
                <w:iCs/>
                <w:color w:val="0000FF"/>
                <w:sz w:val="20"/>
              </w:rPr>
              <w:t>(% sul totale della domanda potenziale)</w:t>
            </w:r>
          </w:p>
        </w:tc>
      </w:tr>
      <w:tr w:rsidR="00A02EB4" w:rsidRPr="00B937A0" w:rsidTr="00F34283">
        <w:trPr>
          <w:trHeight w:val="227"/>
        </w:trPr>
        <w:tc>
          <w:tcPr>
            <w:tcW w:w="2446" w:type="pct"/>
            <w:tcBorders>
              <w:top w:val="single" w:sz="8" w:space="0" w:color="0000FF"/>
              <w:bottom w:val="single" w:sz="8" w:space="0" w:color="0000FF"/>
            </w:tcBorders>
            <w:vAlign w:val="center"/>
          </w:tcPr>
          <w:p w:rsidR="00A02EB4" w:rsidRPr="00B937A0" w:rsidRDefault="005F14C8" w:rsidP="006344E1">
            <w:pPr>
              <w:suppressAutoHyphens/>
              <w:spacing w:before="40" w:after="40"/>
              <w:jc w:val="center"/>
              <w:rPr>
                <w:rFonts w:asciiTheme="minorHAnsi" w:hAnsiTheme="minorHAnsi" w:cstheme="minorHAnsi"/>
                <w:sz w:val="20"/>
              </w:rPr>
            </w:pPr>
            <w:r>
              <w:rPr>
                <w:rFonts w:ascii="Calibri" w:hAnsi="Calibri" w:cs="Calibri"/>
                <w:noProof/>
                <w:color w:val="0000FF"/>
                <w:szCs w:val="24"/>
              </w:rPr>
              <w:drawing>
                <wp:inline distT="0" distB="0" distL="0" distR="0" wp14:anchorId="68DA0CFA" wp14:editId="1030CD68">
                  <wp:extent cx="2409190" cy="1748790"/>
                  <wp:effectExtent l="0" t="0" r="0" b="381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9190" cy="1748790"/>
                          </a:xfrm>
                          <a:prstGeom prst="rect">
                            <a:avLst/>
                          </a:prstGeom>
                          <a:noFill/>
                          <a:ln>
                            <a:noFill/>
                          </a:ln>
                        </pic:spPr>
                      </pic:pic>
                    </a:graphicData>
                  </a:graphic>
                </wp:inline>
              </w:drawing>
            </w:r>
          </w:p>
        </w:tc>
        <w:tc>
          <w:tcPr>
            <w:tcW w:w="108" w:type="pct"/>
            <w:vAlign w:val="center"/>
          </w:tcPr>
          <w:p w:rsidR="00A02EB4" w:rsidRPr="00B937A0" w:rsidRDefault="00A02EB4" w:rsidP="00F34283">
            <w:pPr>
              <w:suppressAutoHyphens/>
              <w:spacing w:before="20" w:after="20"/>
              <w:jc w:val="center"/>
              <w:rPr>
                <w:rFonts w:asciiTheme="minorHAnsi" w:hAnsiTheme="minorHAnsi" w:cstheme="minorHAnsi"/>
                <w:sz w:val="20"/>
              </w:rPr>
            </w:pPr>
          </w:p>
        </w:tc>
        <w:tc>
          <w:tcPr>
            <w:tcW w:w="2446" w:type="pct"/>
            <w:tcBorders>
              <w:top w:val="single" w:sz="8" w:space="0" w:color="0000FF"/>
              <w:bottom w:val="single" w:sz="8" w:space="0" w:color="0000FF"/>
            </w:tcBorders>
            <w:vAlign w:val="center"/>
          </w:tcPr>
          <w:p w:rsidR="00A02EB4" w:rsidRPr="00B937A0" w:rsidRDefault="005F14C8" w:rsidP="006344E1">
            <w:pPr>
              <w:suppressAutoHyphens/>
              <w:spacing w:before="40" w:after="40"/>
              <w:jc w:val="center"/>
              <w:rPr>
                <w:rFonts w:asciiTheme="minorHAnsi" w:hAnsiTheme="minorHAnsi" w:cstheme="minorHAnsi"/>
                <w:sz w:val="20"/>
              </w:rPr>
            </w:pPr>
            <w:r w:rsidRPr="00C1409C">
              <w:rPr>
                <w:noProof/>
              </w:rPr>
              <w:drawing>
                <wp:inline distT="0" distB="0" distL="0" distR="0" wp14:anchorId="3B44C88D" wp14:editId="58CEA4C9">
                  <wp:extent cx="2683418" cy="1756229"/>
                  <wp:effectExtent l="0" t="0" r="3175"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3418" cy="1756229"/>
                          </a:xfrm>
                          <a:prstGeom prst="rect">
                            <a:avLst/>
                          </a:prstGeom>
                          <a:noFill/>
                          <a:ln>
                            <a:noFill/>
                          </a:ln>
                        </pic:spPr>
                      </pic:pic>
                    </a:graphicData>
                  </a:graphic>
                </wp:inline>
              </w:drawing>
            </w:r>
          </w:p>
        </w:tc>
      </w:tr>
      <w:tr w:rsidR="00A02EB4" w:rsidRPr="00B937A0" w:rsidTr="00F34283">
        <w:trPr>
          <w:trHeight w:val="78"/>
        </w:trPr>
        <w:tc>
          <w:tcPr>
            <w:tcW w:w="2446" w:type="pct"/>
            <w:tcBorders>
              <w:top w:val="single" w:sz="8" w:space="0" w:color="0000FF"/>
            </w:tcBorders>
          </w:tcPr>
          <w:p w:rsidR="00A02EB4" w:rsidRPr="00B937A0" w:rsidRDefault="00A02EB4" w:rsidP="000A553E">
            <w:pPr>
              <w:suppressAutoHyphens/>
              <w:spacing w:before="60"/>
              <w:rPr>
                <w:rFonts w:asciiTheme="minorHAnsi" w:hAnsiTheme="minorHAnsi" w:cstheme="minorHAnsi"/>
                <w:b/>
                <w:bCs/>
                <w:sz w:val="18"/>
                <w:szCs w:val="18"/>
              </w:rPr>
            </w:pPr>
            <w:r w:rsidRPr="00B937A0">
              <w:rPr>
                <w:rFonts w:asciiTheme="minorHAnsi" w:hAnsiTheme="minorHAnsi" w:cstheme="minorHAnsi"/>
                <w:noProof/>
                <w:sz w:val="18"/>
                <w:szCs w:val="18"/>
              </w:rPr>
              <w:t>Fonte:</w:t>
            </w:r>
            <w:r w:rsidR="005E16C0">
              <w:rPr>
                <w:rFonts w:asciiTheme="minorHAnsi" w:hAnsiTheme="minorHAnsi" w:cstheme="minorHAnsi"/>
                <w:noProof/>
                <w:sz w:val="18"/>
                <w:szCs w:val="18"/>
              </w:rPr>
              <w:t xml:space="preserve"> Nomisma, Indagine famiglie </w:t>
            </w:r>
            <w:r w:rsidR="000A553E">
              <w:rPr>
                <w:rFonts w:asciiTheme="minorHAnsi" w:hAnsiTheme="minorHAnsi" w:cstheme="minorHAnsi"/>
                <w:noProof/>
                <w:sz w:val="18"/>
                <w:szCs w:val="18"/>
              </w:rPr>
              <w:t>, 2017</w:t>
            </w:r>
          </w:p>
        </w:tc>
        <w:tc>
          <w:tcPr>
            <w:tcW w:w="108" w:type="pct"/>
          </w:tcPr>
          <w:p w:rsidR="00A02EB4" w:rsidRPr="00B937A0" w:rsidRDefault="00A02EB4" w:rsidP="00F34283">
            <w:pPr>
              <w:suppressAutoHyphens/>
              <w:spacing w:before="60"/>
              <w:rPr>
                <w:rFonts w:asciiTheme="minorHAnsi" w:hAnsiTheme="minorHAnsi" w:cstheme="minorHAnsi"/>
                <w:noProof/>
                <w:sz w:val="18"/>
                <w:szCs w:val="18"/>
              </w:rPr>
            </w:pPr>
          </w:p>
        </w:tc>
        <w:tc>
          <w:tcPr>
            <w:tcW w:w="2446" w:type="pct"/>
            <w:tcBorders>
              <w:top w:val="single" w:sz="8" w:space="0" w:color="0000FF"/>
            </w:tcBorders>
          </w:tcPr>
          <w:p w:rsidR="00A02EB4" w:rsidRPr="00B937A0" w:rsidRDefault="00A02EB4" w:rsidP="000A553E">
            <w:pPr>
              <w:suppressAutoHyphens/>
              <w:spacing w:before="60"/>
              <w:rPr>
                <w:rFonts w:asciiTheme="minorHAnsi" w:hAnsiTheme="minorHAnsi" w:cstheme="minorHAnsi"/>
                <w:noProof/>
                <w:sz w:val="18"/>
                <w:szCs w:val="18"/>
              </w:rPr>
            </w:pPr>
            <w:r w:rsidRPr="00B937A0">
              <w:rPr>
                <w:rFonts w:asciiTheme="minorHAnsi" w:hAnsiTheme="minorHAnsi" w:cstheme="minorHAnsi"/>
                <w:noProof/>
                <w:sz w:val="18"/>
                <w:szCs w:val="18"/>
              </w:rPr>
              <w:t>Fonte:</w:t>
            </w:r>
            <w:r w:rsidR="005E16C0">
              <w:rPr>
                <w:rFonts w:asciiTheme="minorHAnsi" w:hAnsiTheme="minorHAnsi" w:cstheme="minorHAnsi"/>
                <w:noProof/>
                <w:sz w:val="18"/>
                <w:szCs w:val="18"/>
              </w:rPr>
              <w:t xml:space="preserve"> Nomisma, Indagine famiglie 201</w:t>
            </w:r>
            <w:r w:rsidR="000A553E">
              <w:rPr>
                <w:rFonts w:asciiTheme="minorHAnsi" w:hAnsiTheme="minorHAnsi" w:cstheme="minorHAnsi"/>
                <w:noProof/>
                <w:sz w:val="18"/>
                <w:szCs w:val="18"/>
              </w:rPr>
              <w:t>7</w:t>
            </w:r>
          </w:p>
        </w:tc>
      </w:tr>
    </w:tbl>
    <w:p w:rsidR="00A02EB4" w:rsidRDefault="00A02EB4" w:rsidP="00A02EB4">
      <w:pPr>
        <w:pStyle w:val="Default"/>
        <w:jc w:val="both"/>
        <w:rPr>
          <w:rFonts w:asciiTheme="minorHAnsi" w:hAnsiTheme="minorHAnsi"/>
          <w:sz w:val="16"/>
          <w:szCs w:val="22"/>
        </w:rPr>
      </w:pPr>
    </w:p>
    <w:p w:rsidR="001A7245" w:rsidRDefault="001A7245" w:rsidP="00EE7E50">
      <w:pPr>
        <w:rPr>
          <w:rFonts w:ascii="Calibri" w:hAnsi="Calibri"/>
          <w:szCs w:val="22"/>
        </w:rPr>
      </w:pPr>
    </w:p>
    <w:p w:rsidR="00EE7E50" w:rsidRPr="001A7245" w:rsidRDefault="00EE7E50" w:rsidP="00EE7E50">
      <w:pPr>
        <w:rPr>
          <w:rFonts w:ascii="Calibri" w:hAnsi="Calibri"/>
          <w:sz w:val="22"/>
          <w:szCs w:val="22"/>
        </w:rPr>
      </w:pPr>
      <w:r w:rsidRPr="001A7245">
        <w:rPr>
          <w:rFonts w:ascii="Calibri" w:hAnsi="Calibri"/>
          <w:sz w:val="22"/>
          <w:szCs w:val="22"/>
        </w:rPr>
        <w:t xml:space="preserve">La riduzione dei tempi medi di vendita è un fenomeno iniziato debolmente nel 2014 per le abitazioni, quando sono maturate le condizioni per un cambiamento della congiuntura. Da allora la contrazione si è progressivamente intensificata, seppure non in maniera tale da consentire il recupero delle posizioni pre-crisi. Diversa risulta la situazione per i tempi medi di locazione, per i quali il recupero dei livelli pre-crisi è un fenomeno consolidato, con valori che risultano oggi mediamente più esigui rispetto al passato. Anche negli anni più critici </w:t>
      </w:r>
      <w:r w:rsidR="001A7245" w:rsidRPr="001A7245">
        <w:rPr>
          <w:rFonts w:ascii="Calibri" w:hAnsi="Calibri"/>
          <w:sz w:val="22"/>
          <w:szCs w:val="22"/>
        </w:rPr>
        <w:t>della crisi</w:t>
      </w:r>
      <w:r w:rsidRPr="001A7245">
        <w:rPr>
          <w:rFonts w:ascii="Calibri" w:hAnsi="Calibri"/>
          <w:sz w:val="22"/>
          <w:szCs w:val="22"/>
        </w:rPr>
        <w:t>, i tempi medi per locare un immobile si sono mantenuti strutturalmente più contenuti, evidenziando una volatilità meno marcata sul versante della locazione rispetto a quello della compravendita.</w:t>
      </w:r>
    </w:p>
    <w:p w:rsidR="00EE7E50" w:rsidRPr="001A7245" w:rsidRDefault="00EE7E50" w:rsidP="00EE7E50">
      <w:pPr>
        <w:rPr>
          <w:rFonts w:ascii="Calibri" w:hAnsi="Calibri"/>
          <w:sz w:val="22"/>
          <w:szCs w:val="22"/>
        </w:rPr>
      </w:pPr>
      <w:r w:rsidRPr="001A7245">
        <w:rPr>
          <w:rFonts w:ascii="Calibri" w:hAnsi="Calibri"/>
          <w:sz w:val="22"/>
          <w:szCs w:val="22"/>
        </w:rPr>
        <w:t>In generale, la tendenza in atto di riduzione dei tempi di assorbimento rappresenta, al contempo, conseguenza e presupposto per un aumento delle transazioni immobiliari.</w:t>
      </w:r>
    </w:p>
    <w:p w:rsidR="00EE7E50" w:rsidRDefault="00EE7E50" w:rsidP="00003318">
      <w:pPr>
        <w:tabs>
          <w:tab w:val="left" w:pos="357"/>
        </w:tabs>
        <w:suppressAutoHyphens/>
        <w:rPr>
          <w:rFonts w:asciiTheme="minorHAnsi" w:hAnsiTheme="minorHAnsi"/>
          <w:sz w:val="22"/>
          <w:szCs w:val="22"/>
        </w:rPr>
      </w:pPr>
    </w:p>
    <w:p w:rsidR="00EE7E50" w:rsidRDefault="00EE7E50" w:rsidP="00003318">
      <w:pPr>
        <w:tabs>
          <w:tab w:val="left" w:pos="357"/>
        </w:tabs>
        <w:suppressAutoHyphens/>
        <w:rPr>
          <w:rFonts w:asciiTheme="minorHAnsi" w:hAnsiTheme="minorHAnsi"/>
          <w:sz w:val="22"/>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4"/>
        <w:gridCol w:w="1833"/>
        <w:gridCol w:w="1834"/>
        <w:gridCol w:w="1833"/>
        <w:gridCol w:w="1834"/>
      </w:tblGrid>
      <w:tr w:rsidR="00216F93" w:rsidRPr="003D3270" w:rsidTr="000D203E">
        <w:trPr>
          <w:trHeight w:val="312"/>
        </w:trPr>
        <w:tc>
          <w:tcPr>
            <w:tcW w:w="2444" w:type="dxa"/>
            <w:vAlign w:val="center"/>
          </w:tcPr>
          <w:p w:rsidR="00216F93" w:rsidRPr="00F02CF0" w:rsidRDefault="00216F93" w:rsidP="000D203E">
            <w:pPr>
              <w:jc w:val="left"/>
              <w:rPr>
                <w:rFonts w:asciiTheme="minorHAnsi" w:eastAsia="Calibri" w:hAnsiTheme="minorHAnsi" w:cstheme="minorHAnsi"/>
                <w:b w:val="0"/>
                <w:sz w:val="20"/>
              </w:rPr>
            </w:pPr>
            <w:r w:rsidRPr="00F02CF0">
              <w:rPr>
                <w:rFonts w:asciiTheme="minorHAnsi" w:eastAsia="Calibri" w:hAnsiTheme="minorHAnsi" w:cstheme="minorHAnsi"/>
                <w:b w:val="0"/>
                <w:caps w:val="0"/>
                <w:sz w:val="20"/>
              </w:rPr>
              <w:lastRenderedPageBreak/>
              <w:t xml:space="preserve">Tavola </w:t>
            </w:r>
            <w:r>
              <w:rPr>
                <w:rFonts w:asciiTheme="minorHAnsi" w:eastAsia="Calibri" w:hAnsiTheme="minorHAnsi" w:cstheme="minorHAnsi"/>
                <w:b w:val="0"/>
                <w:sz w:val="20"/>
              </w:rPr>
              <w:t>1</w:t>
            </w:r>
          </w:p>
        </w:tc>
        <w:tc>
          <w:tcPr>
            <w:tcW w:w="7334" w:type="dxa"/>
            <w:gridSpan w:val="4"/>
            <w:shd w:val="clear" w:color="auto" w:fill="F2F2F2" w:themeFill="background1" w:themeFillShade="F2"/>
            <w:vAlign w:val="center"/>
          </w:tcPr>
          <w:p w:rsidR="00216F93" w:rsidRPr="003D3270" w:rsidRDefault="00216F93" w:rsidP="000D203E">
            <w:pPr>
              <w:jc w:val="center"/>
              <w:rPr>
                <w:rFonts w:asciiTheme="minorHAnsi" w:eastAsia="Calibri" w:hAnsiTheme="minorHAnsi" w:cstheme="minorHAnsi"/>
                <w:caps w:val="0"/>
                <w:sz w:val="20"/>
              </w:rPr>
            </w:pPr>
            <w:r w:rsidRPr="008D062F">
              <w:rPr>
                <w:rFonts w:ascii="Calibri" w:hAnsi="Calibri"/>
                <w:caps w:val="0"/>
                <w:sz w:val="20"/>
                <w:szCs w:val="18"/>
              </w:rPr>
              <w:t xml:space="preserve">13 grandi città – Tempi medi di vendita e di locazione degli immobili </w:t>
            </w:r>
            <w:r w:rsidRPr="008D062F">
              <w:rPr>
                <w:rFonts w:ascii="Calibri" w:hAnsi="Calibri"/>
                <w:b w:val="0"/>
                <w:i/>
                <w:iCs/>
                <w:caps w:val="0"/>
                <w:sz w:val="20"/>
                <w:szCs w:val="18"/>
              </w:rPr>
              <w:t>(mesi)</w:t>
            </w:r>
          </w:p>
        </w:tc>
      </w:tr>
      <w:tr w:rsidR="00216F93" w:rsidRPr="00ED0C7F" w:rsidTr="000D203E">
        <w:trPr>
          <w:trHeight w:val="312"/>
        </w:trPr>
        <w:tc>
          <w:tcPr>
            <w:tcW w:w="2444" w:type="dxa"/>
            <w:vAlign w:val="center"/>
          </w:tcPr>
          <w:p w:rsidR="00216F93" w:rsidRPr="003D3270" w:rsidRDefault="00216F93" w:rsidP="000D203E">
            <w:pPr>
              <w:jc w:val="left"/>
              <w:rPr>
                <w:rFonts w:asciiTheme="minorHAnsi" w:eastAsia="Calibri" w:hAnsiTheme="minorHAnsi" w:cstheme="minorHAnsi"/>
                <w:b w:val="0"/>
                <w:sz w:val="20"/>
              </w:rPr>
            </w:pPr>
          </w:p>
        </w:tc>
        <w:tc>
          <w:tcPr>
            <w:tcW w:w="3667" w:type="dxa"/>
            <w:gridSpan w:val="2"/>
            <w:shd w:val="clear" w:color="auto" w:fill="F2F2F2" w:themeFill="background1" w:themeFillShade="F2"/>
            <w:vAlign w:val="center"/>
          </w:tcPr>
          <w:p w:rsidR="00216F93" w:rsidRPr="00ED0C7F" w:rsidRDefault="00216F93" w:rsidP="000D203E">
            <w:pPr>
              <w:jc w:val="center"/>
              <w:rPr>
                <w:rFonts w:ascii="Calibri" w:hAnsi="Calibri" w:cs="Arial"/>
                <w:caps w:val="0"/>
                <w:sz w:val="20"/>
              </w:rPr>
            </w:pPr>
            <w:r w:rsidRPr="00003318">
              <w:rPr>
                <w:rFonts w:ascii="Calibri" w:hAnsi="Calibri"/>
                <w:caps w:val="0"/>
                <w:sz w:val="18"/>
                <w:szCs w:val="17"/>
                <w:lang w:eastAsia="en-US"/>
              </w:rPr>
              <w:t>Tempi medi di vendita</w:t>
            </w:r>
          </w:p>
        </w:tc>
        <w:tc>
          <w:tcPr>
            <w:tcW w:w="3667" w:type="dxa"/>
            <w:gridSpan w:val="2"/>
            <w:shd w:val="clear" w:color="auto" w:fill="F2F2F2" w:themeFill="background1" w:themeFillShade="F2"/>
            <w:vAlign w:val="center"/>
          </w:tcPr>
          <w:p w:rsidR="00216F93" w:rsidRPr="00ED0C7F" w:rsidRDefault="00216F93" w:rsidP="000D203E">
            <w:pPr>
              <w:jc w:val="center"/>
              <w:rPr>
                <w:rFonts w:ascii="Calibri" w:hAnsi="Calibri" w:cs="Arial"/>
                <w:caps w:val="0"/>
                <w:sz w:val="20"/>
              </w:rPr>
            </w:pPr>
            <w:r w:rsidRPr="00003318">
              <w:rPr>
                <w:rFonts w:ascii="Calibri" w:hAnsi="Calibri"/>
                <w:caps w:val="0"/>
                <w:sz w:val="18"/>
                <w:szCs w:val="17"/>
                <w:lang w:eastAsia="en-US"/>
              </w:rPr>
              <w:t>Tempi medi di locazione</w:t>
            </w:r>
          </w:p>
        </w:tc>
      </w:tr>
      <w:tr w:rsidR="00216F93" w:rsidRPr="00003318" w:rsidTr="000D203E">
        <w:trPr>
          <w:trHeight w:val="312"/>
        </w:trPr>
        <w:tc>
          <w:tcPr>
            <w:tcW w:w="2444" w:type="dxa"/>
            <w:vAlign w:val="center"/>
          </w:tcPr>
          <w:p w:rsidR="00216F93" w:rsidRPr="00003318" w:rsidRDefault="00216F93" w:rsidP="000D203E">
            <w:pPr>
              <w:jc w:val="left"/>
              <w:rPr>
                <w:rFonts w:ascii="Calibri" w:hAnsi="Calibri"/>
                <w:b w:val="0"/>
                <w:bCs w:val="0"/>
                <w:sz w:val="18"/>
                <w:szCs w:val="17"/>
                <w:lang w:eastAsia="en-US"/>
              </w:rPr>
            </w:pPr>
            <w:r w:rsidRPr="00003318">
              <w:rPr>
                <w:rFonts w:ascii="Calibri" w:hAnsi="Calibri"/>
                <w:caps w:val="0"/>
                <w:sz w:val="18"/>
                <w:szCs w:val="17"/>
                <w:lang w:eastAsia="en-US"/>
              </w:rPr>
              <w:t>Tipologie</w:t>
            </w:r>
          </w:p>
        </w:tc>
        <w:tc>
          <w:tcPr>
            <w:tcW w:w="1833" w:type="dxa"/>
            <w:shd w:val="clear" w:color="auto" w:fill="F2F2F2" w:themeFill="background1" w:themeFillShade="F2"/>
            <w:vAlign w:val="center"/>
          </w:tcPr>
          <w:p w:rsidR="00216F93" w:rsidRPr="00003318" w:rsidRDefault="00216F93" w:rsidP="000D203E">
            <w:pPr>
              <w:jc w:val="center"/>
              <w:rPr>
                <w:rFonts w:ascii="Calibri" w:hAnsi="Calibri"/>
                <w:sz w:val="18"/>
                <w:szCs w:val="17"/>
                <w:lang w:eastAsia="en-US"/>
              </w:rPr>
            </w:pPr>
            <w:r w:rsidRPr="00003318">
              <w:rPr>
                <w:rFonts w:ascii="Calibri" w:hAnsi="Calibri"/>
                <w:caps w:val="0"/>
                <w:sz w:val="18"/>
                <w:szCs w:val="17"/>
                <w:lang w:eastAsia="en-US"/>
              </w:rPr>
              <w:t xml:space="preserve">I </w:t>
            </w:r>
            <w:proofErr w:type="spellStart"/>
            <w:r w:rsidRPr="00003318">
              <w:rPr>
                <w:rFonts w:ascii="Calibri" w:hAnsi="Calibri"/>
                <w:caps w:val="0"/>
                <w:sz w:val="18"/>
                <w:szCs w:val="17"/>
                <w:lang w:eastAsia="en-US"/>
              </w:rPr>
              <w:t>sem</w:t>
            </w:r>
            <w:proofErr w:type="spellEnd"/>
            <w:r w:rsidRPr="00003318">
              <w:rPr>
                <w:rFonts w:ascii="Calibri" w:hAnsi="Calibri"/>
                <w:caps w:val="0"/>
                <w:sz w:val="18"/>
                <w:szCs w:val="17"/>
                <w:lang w:eastAsia="en-US"/>
              </w:rPr>
              <w:t>.</w:t>
            </w:r>
            <w:r>
              <w:rPr>
                <w:rFonts w:ascii="Calibri" w:hAnsi="Calibri"/>
                <w:caps w:val="0"/>
                <w:sz w:val="18"/>
                <w:szCs w:val="17"/>
                <w:lang w:eastAsia="en-US"/>
              </w:rPr>
              <w:t xml:space="preserve"> </w:t>
            </w:r>
            <w:r w:rsidRPr="00003318">
              <w:rPr>
                <w:rFonts w:ascii="Calibri" w:hAnsi="Calibri"/>
                <w:caps w:val="0"/>
                <w:sz w:val="18"/>
                <w:szCs w:val="17"/>
                <w:lang w:eastAsia="en-US"/>
              </w:rPr>
              <w:t>2016</w:t>
            </w:r>
          </w:p>
        </w:tc>
        <w:tc>
          <w:tcPr>
            <w:tcW w:w="1834" w:type="dxa"/>
            <w:shd w:val="clear" w:color="auto" w:fill="F2F2F2" w:themeFill="background1" w:themeFillShade="F2"/>
            <w:vAlign w:val="center"/>
          </w:tcPr>
          <w:p w:rsidR="00216F93" w:rsidRPr="00003318" w:rsidRDefault="00216F93" w:rsidP="00216F93">
            <w:pPr>
              <w:jc w:val="center"/>
              <w:rPr>
                <w:rFonts w:ascii="Calibri" w:hAnsi="Calibri"/>
                <w:sz w:val="18"/>
                <w:szCs w:val="17"/>
                <w:lang w:eastAsia="en-US"/>
              </w:rPr>
            </w:pPr>
            <w:r w:rsidRPr="00003318">
              <w:rPr>
                <w:rFonts w:ascii="Calibri" w:hAnsi="Calibri"/>
                <w:caps w:val="0"/>
                <w:sz w:val="18"/>
                <w:szCs w:val="17"/>
                <w:lang w:eastAsia="en-US"/>
              </w:rPr>
              <w:t xml:space="preserve">I </w:t>
            </w:r>
            <w:proofErr w:type="spellStart"/>
            <w:r w:rsidRPr="00003318">
              <w:rPr>
                <w:rFonts w:ascii="Calibri" w:hAnsi="Calibri"/>
                <w:caps w:val="0"/>
                <w:sz w:val="18"/>
                <w:szCs w:val="17"/>
                <w:lang w:eastAsia="en-US"/>
              </w:rPr>
              <w:t>sem</w:t>
            </w:r>
            <w:proofErr w:type="spellEnd"/>
            <w:r w:rsidRPr="00003318">
              <w:rPr>
                <w:rFonts w:ascii="Calibri" w:hAnsi="Calibri"/>
                <w:caps w:val="0"/>
                <w:sz w:val="18"/>
                <w:szCs w:val="17"/>
                <w:lang w:eastAsia="en-US"/>
              </w:rPr>
              <w:t>.</w:t>
            </w:r>
            <w:r>
              <w:rPr>
                <w:rFonts w:ascii="Calibri" w:hAnsi="Calibri"/>
                <w:caps w:val="0"/>
                <w:sz w:val="18"/>
                <w:szCs w:val="17"/>
                <w:lang w:eastAsia="en-US"/>
              </w:rPr>
              <w:t xml:space="preserve"> </w:t>
            </w:r>
            <w:r w:rsidRPr="00003318">
              <w:rPr>
                <w:rFonts w:ascii="Calibri" w:hAnsi="Calibri"/>
                <w:caps w:val="0"/>
                <w:sz w:val="18"/>
                <w:szCs w:val="17"/>
                <w:lang w:eastAsia="en-US"/>
              </w:rPr>
              <w:t>201</w:t>
            </w:r>
            <w:r>
              <w:rPr>
                <w:rFonts w:ascii="Calibri" w:hAnsi="Calibri"/>
                <w:caps w:val="0"/>
                <w:sz w:val="18"/>
                <w:szCs w:val="17"/>
                <w:lang w:eastAsia="en-US"/>
              </w:rPr>
              <w:t>7</w:t>
            </w:r>
          </w:p>
        </w:tc>
        <w:tc>
          <w:tcPr>
            <w:tcW w:w="1833" w:type="dxa"/>
            <w:shd w:val="clear" w:color="auto" w:fill="F2F2F2" w:themeFill="background1" w:themeFillShade="F2"/>
            <w:vAlign w:val="center"/>
          </w:tcPr>
          <w:p w:rsidR="00216F93" w:rsidRPr="00003318" w:rsidRDefault="00216F93" w:rsidP="000D203E">
            <w:pPr>
              <w:jc w:val="center"/>
              <w:rPr>
                <w:rFonts w:ascii="Calibri" w:hAnsi="Calibri"/>
                <w:sz w:val="18"/>
                <w:szCs w:val="17"/>
                <w:lang w:eastAsia="en-US"/>
              </w:rPr>
            </w:pPr>
            <w:r w:rsidRPr="00003318">
              <w:rPr>
                <w:rFonts w:ascii="Calibri" w:hAnsi="Calibri"/>
                <w:caps w:val="0"/>
                <w:sz w:val="18"/>
                <w:szCs w:val="17"/>
                <w:lang w:eastAsia="en-US"/>
              </w:rPr>
              <w:t xml:space="preserve">I </w:t>
            </w:r>
            <w:proofErr w:type="spellStart"/>
            <w:r w:rsidRPr="00003318">
              <w:rPr>
                <w:rFonts w:ascii="Calibri" w:hAnsi="Calibri"/>
                <w:caps w:val="0"/>
                <w:sz w:val="18"/>
                <w:szCs w:val="17"/>
                <w:lang w:eastAsia="en-US"/>
              </w:rPr>
              <w:t>sem</w:t>
            </w:r>
            <w:proofErr w:type="spellEnd"/>
            <w:r w:rsidRPr="00003318">
              <w:rPr>
                <w:rFonts w:ascii="Calibri" w:hAnsi="Calibri"/>
                <w:caps w:val="0"/>
                <w:sz w:val="18"/>
                <w:szCs w:val="17"/>
                <w:lang w:eastAsia="en-US"/>
              </w:rPr>
              <w:t>.</w:t>
            </w:r>
            <w:r>
              <w:rPr>
                <w:rFonts w:ascii="Calibri" w:hAnsi="Calibri"/>
                <w:caps w:val="0"/>
                <w:sz w:val="18"/>
                <w:szCs w:val="17"/>
                <w:lang w:eastAsia="en-US"/>
              </w:rPr>
              <w:t xml:space="preserve"> </w:t>
            </w:r>
            <w:r w:rsidRPr="00003318">
              <w:rPr>
                <w:rFonts w:ascii="Calibri" w:hAnsi="Calibri"/>
                <w:caps w:val="0"/>
                <w:sz w:val="18"/>
                <w:szCs w:val="17"/>
                <w:lang w:eastAsia="en-US"/>
              </w:rPr>
              <w:t>2016</w:t>
            </w:r>
          </w:p>
        </w:tc>
        <w:tc>
          <w:tcPr>
            <w:tcW w:w="1834" w:type="dxa"/>
            <w:shd w:val="clear" w:color="auto" w:fill="F2F2F2" w:themeFill="background1" w:themeFillShade="F2"/>
            <w:vAlign w:val="center"/>
          </w:tcPr>
          <w:p w:rsidR="00216F93" w:rsidRPr="00003318" w:rsidRDefault="00216F93" w:rsidP="000D203E">
            <w:pPr>
              <w:jc w:val="center"/>
              <w:rPr>
                <w:rFonts w:ascii="Calibri" w:hAnsi="Calibri"/>
                <w:sz w:val="18"/>
                <w:szCs w:val="17"/>
                <w:lang w:eastAsia="en-US"/>
              </w:rPr>
            </w:pPr>
            <w:r w:rsidRPr="00003318">
              <w:rPr>
                <w:rFonts w:ascii="Calibri" w:hAnsi="Calibri"/>
                <w:caps w:val="0"/>
                <w:sz w:val="18"/>
                <w:szCs w:val="17"/>
                <w:lang w:eastAsia="en-US"/>
              </w:rPr>
              <w:t xml:space="preserve">I </w:t>
            </w:r>
            <w:proofErr w:type="spellStart"/>
            <w:r w:rsidRPr="00003318">
              <w:rPr>
                <w:rFonts w:ascii="Calibri" w:hAnsi="Calibri"/>
                <w:caps w:val="0"/>
                <w:sz w:val="18"/>
                <w:szCs w:val="17"/>
                <w:lang w:eastAsia="en-US"/>
              </w:rPr>
              <w:t>sem</w:t>
            </w:r>
            <w:proofErr w:type="spellEnd"/>
            <w:r w:rsidRPr="00003318">
              <w:rPr>
                <w:rFonts w:ascii="Calibri" w:hAnsi="Calibri"/>
                <w:caps w:val="0"/>
                <w:sz w:val="18"/>
                <w:szCs w:val="17"/>
                <w:lang w:eastAsia="en-US"/>
              </w:rPr>
              <w:t>.</w:t>
            </w:r>
            <w:r>
              <w:rPr>
                <w:rFonts w:ascii="Calibri" w:hAnsi="Calibri"/>
                <w:caps w:val="0"/>
                <w:sz w:val="18"/>
                <w:szCs w:val="17"/>
                <w:lang w:eastAsia="en-US"/>
              </w:rPr>
              <w:t xml:space="preserve"> </w:t>
            </w:r>
            <w:r w:rsidRPr="00003318">
              <w:rPr>
                <w:rFonts w:ascii="Calibri" w:hAnsi="Calibri"/>
                <w:caps w:val="0"/>
                <w:sz w:val="18"/>
                <w:szCs w:val="17"/>
                <w:lang w:eastAsia="en-US"/>
              </w:rPr>
              <w:t>201</w:t>
            </w:r>
            <w:r>
              <w:rPr>
                <w:rFonts w:ascii="Calibri" w:hAnsi="Calibri"/>
                <w:caps w:val="0"/>
                <w:sz w:val="18"/>
                <w:szCs w:val="17"/>
                <w:lang w:eastAsia="en-US"/>
              </w:rPr>
              <w:t>7</w:t>
            </w:r>
          </w:p>
        </w:tc>
      </w:tr>
      <w:tr w:rsidR="00216F93" w:rsidRPr="008D062F" w:rsidTr="000D203E">
        <w:trPr>
          <w:trHeight w:val="312"/>
        </w:trPr>
        <w:tc>
          <w:tcPr>
            <w:tcW w:w="2444" w:type="dxa"/>
            <w:shd w:val="clear" w:color="auto" w:fill="DBE5F1" w:themeFill="accent1" w:themeFillTint="33"/>
            <w:vAlign w:val="center"/>
          </w:tcPr>
          <w:p w:rsidR="00216F93" w:rsidRPr="008D062F" w:rsidRDefault="00216F93" w:rsidP="0066700F">
            <w:pPr>
              <w:jc w:val="left"/>
              <w:rPr>
                <w:rFonts w:ascii="Calibri" w:hAnsi="Calibri"/>
                <w:b w:val="0"/>
                <w:sz w:val="18"/>
                <w:szCs w:val="17"/>
                <w:lang w:eastAsia="en-US"/>
              </w:rPr>
            </w:pPr>
            <w:r w:rsidRPr="008D062F">
              <w:rPr>
                <w:rFonts w:ascii="Calibri" w:hAnsi="Calibri"/>
                <w:b w:val="0"/>
                <w:caps w:val="0"/>
                <w:sz w:val="18"/>
                <w:szCs w:val="17"/>
                <w:lang w:eastAsia="en-US"/>
              </w:rPr>
              <w:t xml:space="preserve">Abitazioni </w:t>
            </w:r>
          </w:p>
        </w:tc>
        <w:tc>
          <w:tcPr>
            <w:tcW w:w="1833" w:type="dxa"/>
            <w:shd w:val="clear" w:color="auto" w:fill="DBE5F1" w:themeFill="accent1" w:themeFillTint="33"/>
            <w:vAlign w:val="center"/>
          </w:tcPr>
          <w:p w:rsidR="00216F93" w:rsidRPr="008D062F" w:rsidRDefault="00224C40" w:rsidP="000D203E">
            <w:pPr>
              <w:jc w:val="center"/>
              <w:rPr>
                <w:rFonts w:ascii="Calibri" w:hAnsi="Calibri"/>
                <w:b w:val="0"/>
                <w:sz w:val="18"/>
                <w:szCs w:val="17"/>
              </w:rPr>
            </w:pPr>
            <w:r>
              <w:rPr>
                <w:rFonts w:ascii="Calibri" w:hAnsi="Calibri"/>
                <w:b w:val="0"/>
                <w:sz w:val="18"/>
                <w:szCs w:val="17"/>
              </w:rPr>
              <w:t>7,5</w:t>
            </w:r>
          </w:p>
        </w:tc>
        <w:tc>
          <w:tcPr>
            <w:tcW w:w="1834" w:type="dxa"/>
            <w:shd w:val="clear" w:color="auto" w:fill="DBE5F1" w:themeFill="accent1" w:themeFillTint="33"/>
            <w:vAlign w:val="center"/>
          </w:tcPr>
          <w:p w:rsidR="00216F93" w:rsidRPr="008D062F" w:rsidRDefault="00224C40" w:rsidP="000D203E">
            <w:pPr>
              <w:jc w:val="center"/>
              <w:rPr>
                <w:rFonts w:ascii="Calibri" w:hAnsi="Calibri"/>
                <w:b w:val="0"/>
                <w:sz w:val="18"/>
                <w:szCs w:val="17"/>
              </w:rPr>
            </w:pPr>
            <w:r>
              <w:rPr>
                <w:rFonts w:ascii="Calibri" w:hAnsi="Calibri"/>
                <w:b w:val="0"/>
                <w:sz w:val="18"/>
                <w:szCs w:val="17"/>
              </w:rPr>
              <w:t>6,7</w:t>
            </w:r>
          </w:p>
        </w:tc>
        <w:tc>
          <w:tcPr>
            <w:tcW w:w="1833" w:type="dxa"/>
            <w:shd w:val="clear" w:color="auto" w:fill="DBE5F1" w:themeFill="accent1" w:themeFillTint="33"/>
            <w:vAlign w:val="center"/>
          </w:tcPr>
          <w:p w:rsidR="00216F93" w:rsidRPr="008D062F" w:rsidRDefault="0066700F" w:rsidP="000D203E">
            <w:pPr>
              <w:jc w:val="center"/>
              <w:rPr>
                <w:rFonts w:ascii="Calibri" w:hAnsi="Calibri"/>
                <w:b w:val="0"/>
                <w:sz w:val="18"/>
                <w:szCs w:val="17"/>
              </w:rPr>
            </w:pPr>
            <w:r>
              <w:rPr>
                <w:rFonts w:ascii="Calibri" w:hAnsi="Calibri"/>
                <w:b w:val="0"/>
                <w:sz w:val="18"/>
                <w:szCs w:val="17"/>
              </w:rPr>
              <w:t>3,8</w:t>
            </w:r>
          </w:p>
        </w:tc>
        <w:tc>
          <w:tcPr>
            <w:tcW w:w="1834" w:type="dxa"/>
            <w:shd w:val="clear" w:color="auto" w:fill="DBE5F1" w:themeFill="accent1" w:themeFillTint="33"/>
            <w:vAlign w:val="center"/>
          </w:tcPr>
          <w:p w:rsidR="00216F93" w:rsidRPr="008D062F" w:rsidRDefault="0066700F" w:rsidP="000D203E">
            <w:pPr>
              <w:jc w:val="center"/>
              <w:rPr>
                <w:rFonts w:ascii="Calibri" w:hAnsi="Calibri"/>
                <w:b w:val="0"/>
                <w:sz w:val="18"/>
                <w:szCs w:val="17"/>
              </w:rPr>
            </w:pPr>
            <w:r>
              <w:rPr>
                <w:rFonts w:ascii="Calibri" w:hAnsi="Calibri"/>
                <w:b w:val="0"/>
                <w:sz w:val="18"/>
                <w:szCs w:val="17"/>
              </w:rPr>
              <w:t>3,4</w:t>
            </w:r>
          </w:p>
        </w:tc>
      </w:tr>
      <w:tr w:rsidR="00216F93" w:rsidRPr="008D062F" w:rsidTr="000D203E">
        <w:trPr>
          <w:trHeight w:val="312"/>
        </w:trPr>
        <w:tc>
          <w:tcPr>
            <w:tcW w:w="2444" w:type="dxa"/>
            <w:shd w:val="clear" w:color="auto" w:fill="DBE5F1" w:themeFill="accent1" w:themeFillTint="33"/>
            <w:vAlign w:val="center"/>
          </w:tcPr>
          <w:p w:rsidR="00216F93" w:rsidRPr="008D062F" w:rsidRDefault="00216F93" w:rsidP="000D203E">
            <w:pPr>
              <w:jc w:val="left"/>
              <w:rPr>
                <w:rFonts w:ascii="Calibri" w:hAnsi="Calibri"/>
                <w:b w:val="0"/>
                <w:sz w:val="18"/>
                <w:szCs w:val="17"/>
                <w:lang w:eastAsia="en-US"/>
              </w:rPr>
            </w:pPr>
            <w:r w:rsidRPr="008D062F">
              <w:rPr>
                <w:rFonts w:ascii="Calibri" w:hAnsi="Calibri"/>
                <w:b w:val="0"/>
                <w:caps w:val="0"/>
                <w:sz w:val="18"/>
                <w:szCs w:val="17"/>
                <w:lang w:eastAsia="en-US"/>
              </w:rPr>
              <w:t>Uffici</w:t>
            </w:r>
          </w:p>
        </w:tc>
        <w:tc>
          <w:tcPr>
            <w:tcW w:w="1833" w:type="dxa"/>
            <w:shd w:val="clear" w:color="auto" w:fill="DBE5F1" w:themeFill="accent1" w:themeFillTint="33"/>
            <w:vAlign w:val="center"/>
          </w:tcPr>
          <w:p w:rsidR="00216F93" w:rsidRPr="008D062F" w:rsidRDefault="00216F93" w:rsidP="000D203E">
            <w:pPr>
              <w:jc w:val="center"/>
              <w:rPr>
                <w:rFonts w:ascii="Calibri" w:hAnsi="Calibri"/>
                <w:b w:val="0"/>
                <w:sz w:val="18"/>
                <w:szCs w:val="17"/>
              </w:rPr>
            </w:pPr>
            <w:r w:rsidRPr="008D062F">
              <w:rPr>
                <w:rFonts w:ascii="Calibri" w:hAnsi="Calibri"/>
                <w:b w:val="0"/>
                <w:caps w:val="0"/>
                <w:sz w:val="18"/>
                <w:szCs w:val="17"/>
              </w:rPr>
              <w:t>10,1</w:t>
            </w:r>
          </w:p>
        </w:tc>
        <w:tc>
          <w:tcPr>
            <w:tcW w:w="1834" w:type="dxa"/>
            <w:shd w:val="clear" w:color="auto" w:fill="DBE5F1" w:themeFill="accent1" w:themeFillTint="33"/>
            <w:vAlign w:val="center"/>
          </w:tcPr>
          <w:p w:rsidR="00216F93" w:rsidRPr="008D062F" w:rsidRDefault="00224C40" w:rsidP="000D203E">
            <w:pPr>
              <w:jc w:val="center"/>
              <w:rPr>
                <w:rFonts w:ascii="Calibri" w:hAnsi="Calibri"/>
                <w:b w:val="0"/>
                <w:sz w:val="18"/>
                <w:szCs w:val="17"/>
              </w:rPr>
            </w:pPr>
            <w:r>
              <w:rPr>
                <w:rFonts w:ascii="Calibri" w:hAnsi="Calibri"/>
                <w:b w:val="0"/>
                <w:sz w:val="18"/>
                <w:szCs w:val="17"/>
              </w:rPr>
              <w:t>9,5</w:t>
            </w:r>
          </w:p>
        </w:tc>
        <w:tc>
          <w:tcPr>
            <w:tcW w:w="1833" w:type="dxa"/>
            <w:shd w:val="clear" w:color="auto" w:fill="DBE5F1" w:themeFill="accent1" w:themeFillTint="33"/>
            <w:vAlign w:val="center"/>
          </w:tcPr>
          <w:p w:rsidR="00216F93" w:rsidRPr="008D062F" w:rsidRDefault="00216F93" w:rsidP="000D203E">
            <w:pPr>
              <w:jc w:val="center"/>
              <w:rPr>
                <w:rFonts w:ascii="Calibri" w:hAnsi="Calibri"/>
                <w:b w:val="0"/>
                <w:sz w:val="18"/>
                <w:szCs w:val="17"/>
              </w:rPr>
            </w:pPr>
            <w:r w:rsidRPr="008D062F">
              <w:rPr>
                <w:rFonts w:ascii="Calibri" w:hAnsi="Calibri"/>
                <w:b w:val="0"/>
                <w:caps w:val="0"/>
                <w:sz w:val="18"/>
                <w:szCs w:val="17"/>
              </w:rPr>
              <w:t>6,7</w:t>
            </w:r>
          </w:p>
        </w:tc>
        <w:tc>
          <w:tcPr>
            <w:tcW w:w="1834" w:type="dxa"/>
            <w:shd w:val="clear" w:color="auto" w:fill="DBE5F1" w:themeFill="accent1" w:themeFillTint="33"/>
            <w:vAlign w:val="center"/>
          </w:tcPr>
          <w:p w:rsidR="00216F93" w:rsidRPr="008D062F" w:rsidRDefault="0066700F" w:rsidP="000D203E">
            <w:pPr>
              <w:jc w:val="center"/>
              <w:rPr>
                <w:rFonts w:ascii="Calibri" w:hAnsi="Calibri"/>
                <w:b w:val="0"/>
                <w:sz w:val="18"/>
                <w:szCs w:val="17"/>
              </w:rPr>
            </w:pPr>
            <w:r>
              <w:rPr>
                <w:rFonts w:ascii="Calibri" w:hAnsi="Calibri"/>
                <w:b w:val="0"/>
                <w:sz w:val="18"/>
                <w:szCs w:val="17"/>
              </w:rPr>
              <w:t>6,2</w:t>
            </w:r>
          </w:p>
        </w:tc>
      </w:tr>
      <w:tr w:rsidR="00216F93" w:rsidRPr="008D062F" w:rsidTr="000D203E">
        <w:trPr>
          <w:trHeight w:val="312"/>
        </w:trPr>
        <w:tc>
          <w:tcPr>
            <w:tcW w:w="2444" w:type="dxa"/>
            <w:shd w:val="clear" w:color="auto" w:fill="DBE5F1" w:themeFill="accent1" w:themeFillTint="33"/>
            <w:vAlign w:val="center"/>
          </w:tcPr>
          <w:p w:rsidR="00216F93" w:rsidRPr="008D062F" w:rsidRDefault="00216F93" w:rsidP="000D203E">
            <w:pPr>
              <w:jc w:val="left"/>
              <w:rPr>
                <w:rFonts w:ascii="Calibri" w:hAnsi="Calibri"/>
                <w:b w:val="0"/>
                <w:sz w:val="18"/>
                <w:szCs w:val="17"/>
                <w:lang w:eastAsia="en-US"/>
              </w:rPr>
            </w:pPr>
            <w:r w:rsidRPr="008D062F">
              <w:rPr>
                <w:rFonts w:ascii="Calibri" w:hAnsi="Calibri"/>
                <w:b w:val="0"/>
                <w:caps w:val="0"/>
                <w:sz w:val="18"/>
                <w:szCs w:val="17"/>
                <w:lang w:eastAsia="en-US"/>
              </w:rPr>
              <w:t>Negozi</w:t>
            </w:r>
          </w:p>
        </w:tc>
        <w:tc>
          <w:tcPr>
            <w:tcW w:w="1833" w:type="dxa"/>
            <w:shd w:val="clear" w:color="auto" w:fill="DBE5F1" w:themeFill="accent1" w:themeFillTint="33"/>
            <w:vAlign w:val="center"/>
          </w:tcPr>
          <w:p w:rsidR="00216F93" w:rsidRPr="008D062F" w:rsidRDefault="00216F93" w:rsidP="000D203E">
            <w:pPr>
              <w:jc w:val="center"/>
              <w:rPr>
                <w:rFonts w:ascii="Calibri" w:hAnsi="Calibri"/>
                <w:b w:val="0"/>
                <w:sz w:val="18"/>
                <w:szCs w:val="17"/>
              </w:rPr>
            </w:pPr>
            <w:r w:rsidRPr="008D062F">
              <w:rPr>
                <w:rFonts w:ascii="Calibri" w:hAnsi="Calibri"/>
                <w:b w:val="0"/>
                <w:caps w:val="0"/>
                <w:sz w:val="18"/>
                <w:szCs w:val="17"/>
              </w:rPr>
              <w:t>9,6</w:t>
            </w:r>
          </w:p>
        </w:tc>
        <w:tc>
          <w:tcPr>
            <w:tcW w:w="1834" w:type="dxa"/>
            <w:shd w:val="clear" w:color="auto" w:fill="DBE5F1" w:themeFill="accent1" w:themeFillTint="33"/>
            <w:vAlign w:val="center"/>
          </w:tcPr>
          <w:p w:rsidR="00216F93" w:rsidRPr="008D062F" w:rsidRDefault="00224C40" w:rsidP="000D203E">
            <w:pPr>
              <w:jc w:val="center"/>
              <w:rPr>
                <w:rFonts w:ascii="Calibri" w:hAnsi="Calibri"/>
                <w:b w:val="0"/>
                <w:sz w:val="18"/>
                <w:szCs w:val="17"/>
              </w:rPr>
            </w:pPr>
            <w:r>
              <w:rPr>
                <w:rFonts w:ascii="Calibri" w:hAnsi="Calibri"/>
                <w:b w:val="0"/>
                <w:sz w:val="18"/>
                <w:szCs w:val="17"/>
              </w:rPr>
              <w:t>8,9</w:t>
            </w:r>
          </w:p>
        </w:tc>
        <w:tc>
          <w:tcPr>
            <w:tcW w:w="1833" w:type="dxa"/>
            <w:shd w:val="clear" w:color="auto" w:fill="DBE5F1" w:themeFill="accent1" w:themeFillTint="33"/>
            <w:vAlign w:val="center"/>
          </w:tcPr>
          <w:p w:rsidR="00216F93" w:rsidRPr="008D062F" w:rsidRDefault="00216F93" w:rsidP="000D203E">
            <w:pPr>
              <w:jc w:val="center"/>
              <w:rPr>
                <w:rFonts w:ascii="Calibri" w:hAnsi="Calibri"/>
                <w:b w:val="0"/>
                <w:sz w:val="18"/>
                <w:szCs w:val="17"/>
              </w:rPr>
            </w:pPr>
            <w:r w:rsidRPr="008D062F">
              <w:rPr>
                <w:rFonts w:ascii="Calibri" w:hAnsi="Calibri"/>
                <w:b w:val="0"/>
                <w:caps w:val="0"/>
                <w:sz w:val="18"/>
                <w:szCs w:val="17"/>
              </w:rPr>
              <w:t>6,3</w:t>
            </w:r>
          </w:p>
        </w:tc>
        <w:tc>
          <w:tcPr>
            <w:tcW w:w="1834" w:type="dxa"/>
            <w:shd w:val="clear" w:color="auto" w:fill="DBE5F1" w:themeFill="accent1" w:themeFillTint="33"/>
            <w:vAlign w:val="center"/>
          </w:tcPr>
          <w:p w:rsidR="00216F93" w:rsidRPr="008D062F" w:rsidRDefault="0066700F" w:rsidP="000D203E">
            <w:pPr>
              <w:jc w:val="center"/>
              <w:rPr>
                <w:rFonts w:ascii="Calibri" w:hAnsi="Calibri"/>
                <w:b w:val="0"/>
                <w:sz w:val="18"/>
                <w:szCs w:val="17"/>
              </w:rPr>
            </w:pPr>
            <w:r>
              <w:rPr>
                <w:rFonts w:ascii="Calibri" w:hAnsi="Calibri"/>
                <w:b w:val="0"/>
                <w:sz w:val="18"/>
                <w:szCs w:val="17"/>
              </w:rPr>
              <w:t>5,8</w:t>
            </w:r>
          </w:p>
        </w:tc>
      </w:tr>
    </w:tbl>
    <w:p w:rsidR="00BB583E" w:rsidRPr="00622DD0" w:rsidRDefault="00BB583E" w:rsidP="00BB583E">
      <w:pPr>
        <w:spacing w:before="60"/>
        <w:jc w:val="left"/>
        <w:rPr>
          <w:rFonts w:ascii="Calibri" w:hAnsi="Calibri"/>
          <w:sz w:val="18"/>
          <w:szCs w:val="22"/>
        </w:rPr>
      </w:pPr>
      <w:r w:rsidRPr="00622DD0">
        <w:rPr>
          <w:rFonts w:ascii="Calibri" w:hAnsi="Calibri"/>
          <w:sz w:val="18"/>
          <w:szCs w:val="22"/>
        </w:rPr>
        <w:t>Fonte: Nomisma</w:t>
      </w:r>
    </w:p>
    <w:p w:rsidR="00216F93" w:rsidRDefault="00216F93" w:rsidP="00003318">
      <w:pPr>
        <w:tabs>
          <w:tab w:val="left" w:pos="357"/>
        </w:tabs>
        <w:suppressAutoHyphens/>
        <w:rPr>
          <w:rFonts w:asciiTheme="minorHAnsi" w:hAnsiTheme="minorHAnsi"/>
          <w:sz w:val="22"/>
        </w:rPr>
      </w:pPr>
    </w:p>
    <w:p w:rsidR="00623961" w:rsidRDefault="00623961" w:rsidP="00EE7E50">
      <w:pPr>
        <w:suppressAutoHyphens/>
        <w:rPr>
          <w:rFonts w:asciiTheme="minorHAnsi" w:eastAsia="Calibri" w:hAnsiTheme="minorHAnsi" w:cstheme="minorHAnsi"/>
          <w:spacing w:val="-4"/>
          <w:sz w:val="22"/>
          <w:szCs w:val="22"/>
        </w:rPr>
      </w:pPr>
    </w:p>
    <w:p w:rsidR="00EE7E50" w:rsidRPr="00612ABB" w:rsidRDefault="00EE7E50" w:rsidP="00EE7E50">
      <w:pPr>
        <w:suppressAutoHyphens/>
        <w:rPr>
          <w:rFonts w:asciiTheme="minorHAnsi" w:eastAsia="Calibri" w:hAnsiTheme="minorHAnsi" w:cstheme="minorHAnsi"/>
          <w:spacing w:val="-4"/>
          <w:sz w:val="22"/>
          <w:szCs w:val="22"/>
        </w:rPr>
      </w:pPr>
      <w:r w:rsidRPr="00612ABB">
        <w:rPr>
          <w:rFonts w:asciiTheme="minorHAnsi" w:eastAsia="Calibri" w:hAnsiTheme="minorHAnsi" w:cstheme="minorHAnsi"/>
          <w:spacing w:val="-4"/>
          <w:sz w:val="22"/>
          <w:szCs w:val="22"/>
        </w:rPr>
        <w:t>Il ritorno di interesse favorito dalla minore onerosità relativa non ha, tuttavia, impedito un ulteriore lieve arretramento congiunturale delle quotazioni, a conferma della mancanza di pervasività della ripresa in atto. Si tratta di flessioni invero piuttosto modeste, ma comunque contraddittorie rispetto al deciso rafforzamento delle intenzioni di acquisto e al conseguente balzo in avanti delle compravendite.</w:t>
      </w:r>
    </w:p>
    <w:p w:rsidR="00EE7E50" w:rsidRPr="00612ABB" w:rsidRDefault="00EE7E50" w:rsidP="00EE7E50">
      <w:pPr>
        <w:suppressAutoHyphens/>
        <w:rPr>
          <w:rFonts w:asciiTheme="minorHAnsi" w:eastAsia="Calibri" w:hAnsiTheme="minorHAnsi" w:cstheme="minorHAnsi"/>
          <w:spacing w:val="-4"/>
          <w:sz w:val="22"/>
          <w:szCs w:val="22"/>
        </w:rPr>
      </w:pPr>
      <w:r w:rsidRPr="00612ABB">
        <w:rPr>
          <w:rFonts w:asciiTheme="minorHAnsi" w:eastAsia="Calibri" w:hAnsiTheme="minorHAnsi" w:cstheme="minorHAnsi"/>
          <w:spacing w:val="-4"/>
          <w:sz w:val="22"/>
          <w:szCs w:val="22"/>
        </w:rPr>
        <w:t xml:space="preserve">I valori immobiliari tendono </w:t>
      </w:r>
      <w:r>
        <w:rPr>
          <w:rFonts w:asciiTheme="minorHAnsi" w:eastAsia="Calibri" w:hAnsiTheme="minorHAnsi" w:cstheme="minorHAnsi"/>
          <w:spacing w:val="-4"/>
          <w:sz w:val="22"/>
          <w:szCs w:val="22"/>
        </w:rPr>
        <w:t xml:space="preserve">infatti </w:t>
      </w:r>
      <w:r w:rsidRPr="00612ABB">
        <w:rPr>
          <w:rFonts w:asciiTheme="minorHAnsi" w:eastAsia="Calibri" w:hAnsiTheme="minorHAnsi" w:cstheme="minorHAnsi"/>
          <w:spacing w:val="-4"/>
          <w:sz w:val="22"/>
          <w:szCs w:val="22"/>
        </w:rPr>
        <w:t>ancora a flettere, seppure in misura residuale, nonostante il balzo in avanti delle compravendite</w:t>
      </w:r>
      <w:r>
        <w:rPr>
          <w:rFonts w:asciiTheme="minorHAnsi" w:eastAsia="Calibri" w:hAnsiTheme="minorHAnsi" w:cstheme="minorHAnsi"/>
          <w:spacing w:val="-4"/>
          <w:sz w:val="22"/>
          <w:szCs w:val="22"/>
        </w:rPr>
        <w:t xml:space="preserve"> (fig</w:t>
      </w:r>
      <w:r w:rsidR="00893C10">
        <w:rPr>
          <w:rFonts w:asciiTheme="minorHAnsi" w:eastAsia="Calibri" w:hAnsiTheme="minorHAnsi" w:cstheme="minorHAnsi"/>
          <w:spacing w:val="-4"/>
          <w:sz w:val="22"/>
          <w:szCs w:val="22"/>
        </w:rPr>
        <w:t>.</w:t>
      </w:r>
      <w:r>
        <w:rPr>
          <w:rFonts w:asciiTheme="minorHAnsi" w:eastAsia="Calibri" w:hAnsiTheme="minorHAnsi" w:cstheme="minorHAnsi"/>
          <w:spacing w:val="-4"/>
          <w:sz w:val="22"/>
          <w:szCs w:val="22"/>
        </w:rPr>
        <w:t xml:space="preserve"> 3)</w:t>
      </w:r>
      <w:r w:rsidRPr="00612ABB">
        <w:rPr>
          <w:rFonts w:asciiTheme="minorHAnsi" w:eastAsia="Calibri" w:hAnsiTheme="minorHAnsi" w:cstheme="minorHAnsi"/>
          <w:spacing w:val="-4"/>
          <w:sz w:val="22"/>
          <w:szCs w:val="22"/>
        </w:rPr>
        <w:t>.</w:t>
      </w:r>
    </w:p>
    <w:p w:rsidR="00EE7E50" w:rsidRPr="00612ABB" w:rsidRDefault="00EE7E50" w:rsidP="00EE7E50">
      <w:pPr>
        <w:rPr>
          <w:rFonts w:asciiTheme="minorHAnsi" w:eastAsia="Calibri" w:hAnsiTheme="minorHAnsi" w:cstheme="minorHAnsi"/>
          <w:spacing w:val="-4"/>
          <w:sz w:val="22"/>
          <w:szCs w:val="22"/>
        </w:rPr>
      </w:pPr>
      <w:r w:rsidRPr="00612ABB">
        <w:rPr>
          <w:rFonts w:asciiTheme="minorHAnsi" w:eastAsia="Calibri" w:hAnsiTheme="minorHAnsi" w:cstheme="minorHAnsi"/>
          <w:spacing w:val="-4"/>
          <w:sz w:val="22"/>
          <w:szCs w:val="22"/>
        </w:rPr>
        <w:t>Alla base della discrasia di andamento degli ultimi anni si collocano fattori quali la già citata debolezza reddituale di parte della domanda e il perdurante eccesso di offerta, che fungono tuttora da calmiere dei prezzi.</w:t>
      </w:r>
    </w:p>
    <w:p w:rsidR="00EE7E50" w:rsidRPr="00612ABB" w:rsidRDefault="00EE7E50" w:rsidP="00EE7E50">
      <w:pPr>
        <w:rPr>
          <w:rFonts w:asciiTheme="minorHAnsi" w:eastAsia="Calibri" w:hAnsiTheme="minorHAnsi" w:cstheme="minorHAnsi"/>
          <w:spacing w:val="-4"/>
          <w:sz w:val="22"/>
          <w:szCs w:val="22"/>
        </w:rPr>
      </w:pPr>
      <w:r w:rsidRPr="00612ABB">
        <w:rPr>
          <w:rFonts w:asciiTheme="minorHAnsi" w:eastAsia="Calibri" w:hAnsiTheme="minorHAnsi" w:cstheme="minorHAnsi"/>
          <w:spacing w:val="-4"/>
          <w:sz w:val="22"/>
          <w:szCs w:val="22"/>
        </w:rPr>
        <w:t>Se si ripercorre la storia del mercato immobiliare italiano, la correlazione tra prezzi e compravendite risulta massima nell’ipotesi che le compravendite influenzino i prezzi con un ritardo temporale di un paio d’anni. La fase riflessiva dell’ultimo ciclo immobiliare (1997-in corso) si configura come “atipica”, essendo venuta meno questa ricorrenza, con compravendite che da tre anni crescono e prezzi che in parallelo continuano ad essere interessati da variazioni negative, ancorché contenute, proseguendo anche nel primo semestre dell’anno in corso.</w:t>
      </w:r>
    </w:p>
    <w:p w:rsidR="00EE7E50" w:rsidRDefault="00EE7E50" w:rsidP="00EE7E50">
      <w:pPr>
        <w:rPr>
          <w:rFonts w:asciiTheme="minorHAnsi" w:eastAsia="Calibri" w:hAnsiTheme="minorHAnsi" w:cstheme="minorHAnsi"/>
          <w:spacing w:val="-4"/>
          <w:sz w:val="22"/>
          <w:szCs w:val="22"/>
        </w:rPr>
      </w:pPr>
      <w:r w:rsidRPr="00612ABB">
        <w:rPr>
          <w:rFonts w:asciiTheme="minorHAnsi" w:eastAsia="Calibri" w:hAnsiTheme="minorHAnsi" w:cstheme="minorHAnsi"/>
          <w:spacing w:val="-4"/>
          <w:sz w:val="22"/>
          <w:szCs w:val="22"/>
        </w:rPr>
        <w:t>Il processo di lento riallineamento di prezzi e quantità può essere letto anche attraverso la recente evoluzione degli indicatori di liquidità del mercato, quali i tempi medi di vendita e locazione e gli sconti praticati sui prezzi richiesti. Tali indicatori mostrano una tendenza a recuperare le posizioni perse con molta gradualità e in palese ritardo rispetto alla ripresa delle compravendite e alla stabilizzazione delle locazioni</w:t>
      </w:r>
      <w:r>
        <w:rPr>
          <w:rFonts w:asciiTheme="minorHAnsi" w:eastAsia="Calibri" w:hAnsiTheme="minorHAnsi" w:cstheme="minorHAnsi"/>
          <w:spacing w:val="-4"/>
          <w:sz w:val="22"/>
          <w:szCs w:val="22"/>
        </w:rPr>
        <w:t xml:space="preserve"> (tav.1)</w:t>
      </w:r>
      <w:r w:rsidRPr="00612ABB">
        <w:rPr>
          <w:rFonts w:asciiTheme="minorHAnsi" w:eastAsia="Calibri" w:hAnsiTheme="minorHAnsi" w:cstheme="minorHAnsi"/>
          <w:spacing w:val="-4"/>
          <w:sz w:val="22"/>
          <w:szCs w:val="22"/>
        </w:rPr>
        <w:t>.</w:t>
      </w:r>
    </w:p>
    <w:p w:rsidR="001B3F93" w:rsidRDefault="001B3F93" w:rsidP="00003318">
      <w:pPr>
        <w:tabs>
          <w:tab w:val="left" w:pos="357"/>
        </w:tabs>
        <w:suppressAutoHyphens/>
        <w:rPr>
          <w:rFonts w:asciiTheme="minorHAnsi" w:hAnsiTheme="minorHAnsi"/>
          <w:sz w:val="16"/>
        </w:rPr>
      </w:pPr>
    </w:p>
    <w:p w:rsidR="001B3F93" w:rsidRDefault="001B3F93" w:rsidP="00003318">
      <w:pPr>
        <w:tabs>
          <w:tab w:val="left" w:pos="357"/>
        </w:tabs>
        <w:suppressAutoHyphens/>
        <w:rPr>
          <w:rFonts w:asciiTheme="minorHAnsi" w:hAnsiTheme="minorHAnsi"/>
          <w:sz w:val="16"/>
        </w:rPr>
      </w:pPr>
    </w:p>
    <w:p w:rsidR="001B3F93" w:rsidRPr="007D1EDF" w:rsidRDefault="001B3F93" w:rsidP="00003318">
      <w:pPr>
        <w:tabs>
          <w:tab w:val="left" w:pos="357"/>
        </w:tabs>
        <w:suppressAutoHyphens/>
        <w:rPr>
          <w:rFonts w:asciiTheme="minorHAnsi" w:hAnsiTheme="minorHAnsi"/>
          <w:sz w:val="16"/>
        </w:rPr>
      </w:pPr>
    </w:p>
    <w:p w:rsidR="007D1EDF" w:rsidRPr="005E16C0" w:rsidRDefault="007D1EDF" w:rsidP="00003318">
      <w:pPr>
        <w:pStyle w:val="testo2"/>
        <w:widowControl/>
        <w:suppressAutoHyphens/>
        <w:spacing w:before="0" w:line="240" w:lineRule="auto"/>
        <w:jc w:val="right"/>
        <w:rPr>
          <w:rFonts w:asciiTheme="minorHAnsi" w:hAnsiTheme="minorHAnsi" w:cstheme="minorHAnsi"/>
          <w:sz w:val="20"/>
          <w:szCs w:val="18"/>
        </w:rPr>
      </w:pPr>
      <w:r>
        <w:rPr>
          <w:rFonts w:asciiTheme="minorHAnsi" w:hAnsiTheme="minorHAnsi" w:cstheme="minorHAnsi"/>
          <w:sz w:val="20"/>
          <w:szCs w:val="18"/>
        </w:rPr>
        <w:t>Figura 3</w:t>
      </w:r>
    </w:p>
    <w:p w:rsidR="007D1EDF" w:rsidRPr="00B937A0" w:rsidRDefault="007D1EDF" w:rsidP="007D1EDF">
      <w:pPr>
        <w:pStyle w:val="testo2"/>
        <w:widowControl/>
        <w:suppressAutoHyphens/>
        <w:spacing w:before="0" w:after="40" w:line="240" w:lineRule="auto"/>
        <w:jc w:val="center"/>
        <w:rPr>
          <w:rFonts w:asciiTheme="minorHAnsi" w:hAnsiTheme="minorHAnsi" w:cstheme="minorHAnsi"/>
          <w:b/>
          <w:color w:val="0000FF"/>
          <w:sz w:val="20"/>
          <w:szCs w:val="18"/>
        </w:rPr>
      </w:pPr>
      <w:r w:rsidRPr="008D062F">
        <w:rPr>
          <w:rFonts w:asciiTheme="minorHAnsi" w:hAnsiTheme="minorHAnsi"/>
          <w:b/>
          <w:sz w:val="20"/>
          <w:szCs w:val="18"/>
        </w:rPr>
        <w:t xml:space="preserve">13 grandi città </w:t>
      </w:r>
      <w:r w:rsidRPr="008D062F">
        <w:rPr>
          <w:rFonts w:ascii="Calibri" w:hAnsi="Calibri"/>
          <w:b/>
          <w:bCs/>
          <w:sz w:val="20"/>
          <w:szCs w:val="18"/>
        </w:rPr>
        <w:t>–</w:t>
      </w:r>
      <w:r w:rsidRPr="008D062F">
        <w:rPr>
          <w:rFonts w:asciiTheme="minorHAnsi" w:hAnsiTheme="minorHAnsi"/>
          <w:b/>
          <w:sz w:val="20"/>
          <w:szCs w:val="18"/>
        </w:rPr>
        <w:t xml:space="preserve"> Evoluzione dei valori immobiliari </w:t>
      </w:r>
      <w:r w:rsidRPr="008D062F">
        <w:rPr>
          <w:rFonts w:asciiTheme="minorHAnsi" w:hAnsiTheme="minorHAnsi"/>
          <w:i/>
          <w:sz w:val="20"/>
          <w:szCs w:val="18"/>
        </w:rPr>
        <w:t>(variazioni % semestrali)</w:t>
      </w:r>
    </w:p>
    <w:tbl>
      <w:tblPr>
        <w:tblW w:w="5000" w:type="pct"/>
        <w:tblCellMar>
          <w:left w:w="71" w:type="dxa"/>
          <w:right w:w="71" w:type="dxa"/>
        </w:tblCellMar>
        <w:tblLook w:val="0000" w:firstRow="0" w:lastRow="0" w:firstColumn="0" w:lastColumn="0" w:noHBand="0" w:noVBand="0"/>
      </w:tblPr>
      <w:tblGrid>
        <w:gridCol w:w="4996"/>
        <w:gridCol w:w="4784"/>
      </w:tblGrid>
      <w:tr w:rsidR="00003318" w:rsidRPr="00B937A0" w:rsidTr="00003318">
        <w:trPr>
          <w:trHeight w:val="227"/>
        </w:trPr>
        <w:tc>
          <w:tcPr>
            <w:tcW w:w="2554" w:type="pct"/>
            <w:tcBorders>
              <w:top w:val="single" w:sz="8" w:space="0" w:color="0000FF"/>
            </w:tcBorders>
          </w:tcPr>
          <w:p w:rsidR="00003318" w:rsidRPr="00003318" w:rsidRDefault="00003318" w:rsidP="00F34283">
            <w:pPr>
              <w:spacing w:before="40" w:after="40"/>
              <w:jc w:val="center"/>
              <w:rPr>
                <w:rFonts w:asciiTheme="minorHAnsi" w:hAnsiTheme="minorHAnsi"/>
                <w:b/>
                <w:sz w:val="18"/>
                <w:szCs w:val="16"/>
              </w:rPr>
            </w:pPr>
            <w:r w:rsidRPr="00003318">
              <w:rPr>
                <w:rFonts w:asciiTheme="minorHAnsi" w:hAnsiTheme="minorHAnsi"/>
                <w:b/>
                <w:sz w:val="18"/>
                <w:szCs w:val="16"/>
              </w:rPr>
              <w:t xml:space="preserve">Prezzi di compravendita </w:t>
            </w:r>
          </w:p>
        </w:tc>
        <w:tc>
          <w:tcPr>
            <w:tcW w:w="2446" w:type="pct"/>
            <w:tcBorders>
              <w:top w:val="single" w:sz="8" w:space="0" w:color="0000FF"/>
            </w:tcBorders>
          </w:tcPr>
          <w:p w:rsidR="00003318" w:rsidRPr="00003318" w:rsidRDefault="00003318" w:rsidP="00F34283">
            <w:pPr>
              <w:spacing w:before="40" w:after="40"/>
              <w:jc w:val="center"/>
              <w:rPr>
                <w:rFonts w:asciiTheme="minorHAnsi" w:hAnsiTheme="minorHAnsi"/>
                <w:b/>
                <w:sz w:val="18"/>
                <w:szCs w:val="16"/>
              </w:rPr>
            </w:pPr>
            <w:r w:rsidRPr="00003318">
              <w:rPr>
                <w:rFonts w:asciiTheme="minorHAnsi" w:hAnsiTheme="minorHAnsi"/>
                <w:b/>
                <w:sz w:val="18"/>
                <w:szCs w:val="16"/>
              </w:rPr>
              <w:t>Canoni di locazione</w:t>
            </w:r>
          </w:p>
        </w:tc>
      </w:tr>
      <w:tr w:rsidR="00003318" w:rsidRPr="00B937A0" w:rsidTr="00003318">
        <w:trPr>
          <w:trHeight w:val="227"/>
        </w:trPr>
        <w:tc>
          <w:tcPr>
            <w:tcW w:w="2554" w:type="pct"/>
            <w:tcBorders>
              <w:bottom w:val="single" w:sz="8" w:space="0" w:color="0000FF"/>
            </w:tcBorders>
            <w:vAlign w:val="center"/>
          </w:tcPr>
          <w:p w:rsidR="00003318" w:rsidRPr="00B937A0" w:rsidRDefault="00216F93" w:rsidP="00F34283">
            <w:pPr>
              <w:suppressAutoHyphens/>
              <w:spacing w:before="20" w:after="20"/>
              <w:jc w:val="center"/>
              <w:rPr>
                <w:rFonts w:asciiTheme="minorHAnsi" w:hAnsiTheme="minorHAnsi" w:cstheme="minorHAnsi"/>
                <w:sz w:val="20"/>
              </w:rPr>
            </w:pPr>
            <w:r w:rsidRPr="00622DD0">
              <w:rPr>
                <w:rFonts w:ascii="Calibri" w:hAnsi="Calibri" w:cs="Calibri"/>
                <w:noProof/>
                <w:sz w:val="20"/>
              </w:rPr>
              <w:drawing>
                <wp:inline distT="0" distB="0" distL="0" distR="0" wp14:anchorId="42921AB5" wp14:editId="7A176871">
                  <wp:extent cx="2416810" cy="1574800"/>
                  <wp:effectExtent l="0" t="0" r="2540" b="635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16810" cy="1574800"/>
                          </a:xfrm>
                          <a:prstGeom prst="rect">
                            <a:avLst/>
                          </a:prstGeom>
                          <a:noFill/>
                          <a:ln>
                            <a:noFill/>
                          </a:ln>
                        </pic:spPr>
                      </pic:pic>
                    </a:graphicData>
                  </a:graphic>
                </wp:inline>
              </w:drawing>
            </w:r>
          </w:p>
        </w:tc>
        <w:tc>
          <w:tcPr>
            <w:tcW w:w="2446" w:type="pct"/>
            <w:tcBorders>
              <w:bottom w:val="single" w:sz="8" w:space="0" w:color="0000FF"/>
            </w:tcBorders>
            <w:vAlign w:val="center"/>
          </w:tcPr>
          <w:p w:rsidR="00003318" w:rsidRPr="00B937A0" w:rsidRDefault="00216F93" w:rsidP="00F34283">
            <w:pPr>
              <w:suppressAutoHyphens/>
              <w:spacing w:before="40" w:after="40"/>
              <w:jc w:val="center"/>
              <w:rPr>
                <w:rFonts w:asciiTheme="minorHAnsi" w:hAnsiTheme="minorHAnsi" w:cstheme="minorHAnsi"/>
                <w:sz w:val="20"/>
              </w:rPr>
            </w:pPr>
            <w:r w:rsidRPr="00622DD0">
              <w:rPr>
                <w:rFonts w:ascii="Calibri" w:hAnsi="Calibri" w:cs="Calibri"/>
                <w:noProof/>
                <w:sz w:val="20"/>
              </w:rPr>
              <w:drawing>
                <wp:inline distT="0" distB="0" distL="0" distR="0" wp14:anchorId="7764D3CD" wp14:editId="721E6178">
                  <wp:extent cx="2416810" cy="1574800"/>
                  <wp:effectExtent l="0" t="0" r="2540" b="635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16810" cy="1574800"/>
                          </a:xfrm>
                          <a:prstGeom prst="rect">
                            <a:avLst/>
                          </a:prstGeom>
                          <a:noFill/>
                          <a:ln>
                            <a:noFill/>
                          </a:ln>
                        </pic:spPr>
                      </pic:pic>
                    </a:graphicData>
                  </a:graphic>
                </wp:inline>
              </w:drawing>
            </w:r>
          </w:p>
        </w:tc>
      </w:tr>
    </w:tbl>
    <w:p w:rsidR="007D1EDF" w:rsidRDefault="007D1EDF" w:rsidP="00F34283">
      <w:pPr>
        <w:suppressAutoHyphens/>
        <w:spacing w:before="60"/>
        <w:rPr>
          <w:rFonts w:asciiTheme="minorHAnsi" w:hAnsiTheme="minorHAnsi" w:cstheme="minorHAnsi"/>
          <w:noProof/>
          <w:sz w:val="18"/>
          <w:szCs w:val="18"/>
        </w:rPr>
      </w:pPr>
      <w:r w:rsidRPr="00B937A0">
        <w:rPr>
          <w:rFonts w:asciiTheme="minorHAnsi" w:hAnsiTheme="minorHAnsi" w:cstheme="minorHAnsi"/>
          <w:noProof/>
          <w:sz w:val="18"/>
          <w:szCs w:val="18"/>
        </w:rPr>
        <w:t>Fonte:</w:t>
      </w:r>
      <w:r>
        <w:rPr>
          <w:rFonts w:asciiTheme="minorHAnsi" w:hAnsiTheme="minorHAnsi" w:cstheme="minorHAnsi"/>
          <w:noProof/>
          <w:sz w:val="18"/>
          <w:szCs w:val="18"/>
        </w:rPr>
        <w:t xml:space="preserve"> Nomisma</w:t>
      </w:r>
    </w:p>
    <w:p w:rsidR="00F34283" w:rsidRDefault="00F34283" w:rsidP="00F34283">
      <w:pPr>
        <w:suppressAutoHyphens/>
        <w:spacing w:before="60"/>
        <w:rPr>
          <w:rFonts w:asciiTheme="minorHAnsi" w:hAnsiTheme="minorHAnsi" w:cstheme="minorHAnsi"/>
          <w:noProof/>
          <w:sz w:val="18"/>
          <w:szCs w:val="18"/>
        </w:rPr>
      </w:pPr>
    </w:p>
    <w:p w:rsidR="00F34283" w:rsidRDefault="00F34283" w:rsidP="00F34283">
      <w:pPr>
        <w:suppressAutoHyphens/>
        <w:spacing w:before="60"/>
        <w:rPr>
          <w:rFonts w:asciiTheme="minorHAnsi" w:hAnsiTheme="minorHAnsi" w:cstheme="minorHAnsi"/>
          <w:noProof/>
          <w:sz w:val="18"/>
          <w:szCs w:val="18"/>
        </w:rPr>
      </w:pPr>
    </w:p>
    <w:p w:rsidR="00623961" w:rsidRDefault="00623961">
      <w:pPr>
        <w:spacing w:after="200" w:line="276" w:lineRule="auto"/>
        <w:jc w:val="left"/>
        <w:rPr>
          <w:rFonts w:asciiTheme="minorHAnsi" w:eastAsia="Calibri" w:hAnsiTheme="minorHAnsi" w:cs="Calibri"/>
          <w:b/>
          <w:sz w:val="28"/>
          <w:szCs w:val="28"/>
        </w:rPr>
      </w:pPr>
      <w:r>
        <w:rPr>
          <w:rFonts w:asciiTheme="minorHAnsi" w:hAnsiTheme="minorHAnsi" w:cs="Calibri"/>
          <w:b/>
          <w:sz w:val="28"/>
          <w:szCs w:val="28"/>
        </w:rPr>
        <w:br w:type="page"/>
      </w:r>
    </w:p>
    <w:p w:rsidR="00170F64" w:rsidRPr="003D3270" w:rsidRDefault="00170F64" w:rsidP="007F37E0">
      <w:pPr>
        <w:pStyle w:val="Paragrafoelenco1"/>
        <w:tabs>
          <w:tab w:val="left" w:pos="1418"/>
        </w:tabs>
        <w:suppressAutoHyphens/>
        <w:ind w:left="0"/>
        <w:rPr>
          <w:rFonts w:asciiTheme="minorHAnsi" w:hAnsiTheme="minorHAnsi" w:cs="Calibri"/>
          <w:b/>
          <w:sz w:val="28"/>
          <w:szCs w:val="28"/>
        </w:rPr>
      </w:pPr>
      <w:r w:rsidRPr="003D3270">
        <w:rPr>
          <w:rFonts w:asciiTheme="minorHAnsi" w:hAnsiTheme="minorHAnsi" w:cs="Calibri"/>
          <w:b/>
          <w:sz w:val="28"/>
          <w:szCs w:val="28"/>
        </w:rPr>
        <w:lastRenderedPageBreak/>
        <w:t xml:space="preserve">Il mercato delle abitazioni per vacanza </w:t>
      </w:r>
    </w:p>
    <w:p w:rsidR="00170F64" w:rsidRPr="006344E1" w:rsidRDefault="00170F64" w:rsidP="00364602">
      <w:pPr>
        <w:rPr>
          <w:rFonts w:asciiTheme="minorHAnsi" w:eastAsia="Calibri" w:hAnsiTheme="minorHAnsi" w:cstheme="minorHAnsi"/>
          <w:sz w:val="22"/>
          <w:szCs w:val="24"/>
        </w:rPr>
      </w:pPr>
    </w:p>
    <w:p w:rsidR="00623961" w:rsidRDefault="00623961" w:rsidP="00623961">
      <w:pPr>
        <w:rPr>
          <w:rFonts w:asciiTheme="minorHAnsi" w:eastAsia="Calibri" w:hAnsiTheme="minorHAnsi" w:cstheme="minorHAnsi"/>
          <w:sz w:val="22"/>
          <w:szCs w:val="22"/>
        </w:rPr>
      </w:pPr>
      <w:r>
        <w:rPr>
          <w:rFonts w:asciiTheme="minorHAnsi" w:eastAsia="Calibri" w:hAnsiTheme="minorHAnsi" w:cstheme="minorHAnsi"/>
          <w:sz w:val="22"/>
        </w:rPr>
        <w:t>Rispett</w:t>
      </w:r>
      <w:r w:rsidR="008D2645">
        <w:rPr>
          <w:rFonts w:asciiTheme="minorHAnsi" w:eastAsia="Calibri" w:hAnsiTheme="minorHAnsi" w:cstheme="minorHAnsi"/>
          <w:sz w:val="22"/>
        </w:rPr>
        <w:t>o agli anni precedenti, i dati a</w:t>
      </w:r>
      <w:r>
        <w:rPr>
          <w:rFonts w:asciiTheme="minorHAnsi" w:eastAsia="Calibri" w:hAnsiTheme="minorHAnsi" w:cstheme="minorHAnsi"/>
          <w:sz w:val="22"/>
        </w:rPr>
        <w:t xml:space="preserve"> </w:t>
      </w:r>
      <w:r w:rsidRPr="00EB3AE3">
        <w:rPr>
          <w:rFonts w:asciiTheme="minorHAnsi" w:eastAsia="Calibri" w:hAnsiTheme="minorHAnsi" w:cstheme="minorHAnsi"/>
          <w:sz w:val="22"/>
          <w:szCs w:val="22"/>
        </w:rPr>
        <w:t>consuntivo 201</w:t>
      </w:r>
      <w:r>
        <w:rPr>
          <w:rFonts w:asciiTheme="minorHAnsi" w:eastAsia="Calibri" w:hAnsiTheme="minorHAnsi" w:cstheme="minorHAnsi"/>
          <w:sz w:val="22"/>
          <w:szCs w:val="22"/>
        </w:rPr>
        <w:t xml:space="preserve">6 rilevano un aumento consistente </w:t>
      </w:r>
      <w:r w:rsidRPr="00EB3AE3">
        <w:rPr>
          <w:rFonts w:asciiTheme="minorHAnsi" w:eastAsia="Calibri" w:hAnsiTheme="minorHAnsi" w:cstheme="minorHAnsi"/>
          <w:sz w:val="22"/>
          <w:szCs w:val="22"/>
        </w:rPr>
        <w:t xml:space="preserve">dell’attività </w:t>
      </w:r>
      <w:r w:rsidRPr="00684FCF">
        <w:rPr>
          <w:rFonts w:asciiTheme="minorHAnsi" w:eastAsia="Calibri" w:hAnsiTheme="minorHAnsi" w:cstheme="minorHAnsi"/>
          <w:sz w:val="22"/>
          <w:szCs w:val="22"/>
        </w:rPr>
        <w:t xml:space="preserve">transattiva, </w:t>
      </w:r>
      <w:r>
        <w:rPr>
          <w:rFonts w:asciiTheme="minorHAnsi" w:eastAsia="Calibri" w:hAnsiTheme="minorHAnsi" w:cstheme="minorHAnsi"/>
          <w:sz w:val="22"/>
          <w:szCs w:val="22"/>
        </w:rPr>
        <w:t xml:space="preserve">sia </w:t>
      </w:r>
      <w:r w:rsidRPr="00893C10">
        <w:rPr>
          <w:rFonts w:asciiTheme="minorHAnsi" w:eastAsia="Calibri" w:hAnsiTheme="minorHAnsi" w:cstheme="minorHAnsi"/>
          <w:sz w:val="22"/>
          <w:szCs w:val="22"/>
        </w:rPr>
        <w:t>del mercato residenziale</w:t>
      </w:r>
      <w:r w:rsidR="00893C10" w:rsidRPr="00893C10">
        <w:rPr>
          <w:rFonts w:asciiTheme="minorHAnsi" w:eastAsia="Calibri" w:hAnsiTheme="minorHAnsi" w:cstheme="minorHAnsi"/>
          <w:sz w:val="22"/>
          <w:szCs w:val="22"/>
        </w:rPr>
        <w:t xml:space="preserve"> generale italiano</w:t>
      </w:r>
      <w:r w:rsidRPr="00893C10">
        <w:rPr>
          <w:rFonts w:asciiTheme="minorHAnsi" w:eastAsia="Calibri" w:hAnsiTheme="minorHAnsi" w:cstheme="minorHAnsi"/>
          <w:sz w:val="22"/>
          <w:szCs w:val="22"/>
        </w:rPr>
        <w:t xml:space="preserve"> (+18,9%</w:t>
      </w:r>
      <w:r w:rsidR="008D2645">
        <w:rPr>
          <w:rFonts w:asciiTheme="minorHAnsi" w:eastAsia="Calibri" w:hAnsiTheme="minorHAnsi" w:cstheme="minorHAnsi"/>
          <w:sz w:val="22"/>
          <w:szCs w:val="22"/>
        </w:rPr>
        <w:t xml:space="preserve"> su base</w:t>
      </w:r>
      <w:r w:rsidRPr="00893C10">
        <w:rPr>
          <w:rFonts w:asciiTheme="minorHAnsi" w:eastAsia="Calibri" w:hAnsiTheme="minorHAnsi" w:cstheme="minorHAnsi"/>
          <w:sz w:val="22"/>
          <w:szCs w:val="22"/>
        </w:rPr>
        <w:t xml:space="preserve"> annuale) che</w:t>
      </w:r>
      <w:r w:rsidRPr="00684FCF">
        <w:rPr>
          <w:rFonts w:asciiTheme="minorHAnsi" w:eastAsia="Calibri" w:hAnsiTheme="minorHAnsi" w:cstheme="minorHAnsi"/>
          <w:sz w:val="22"/>
          <w:szCs w:val="22"/>
        </w:rPr>
        <w:t xml:space="preserve"> </w:t>
      </w:r>
      <w:r w:rsidR="006E4A48">
        <w:rPr>
          <w:rFonts w:asciiTheme="minorHAnsi" w:eastAsia="Calibri" w:hAnsiTheme="minorHAnsi" w:cstheme="minorHAnsi"/>
          <w:sz w:val="22"/>
          <w:szCs w:val="22"/>
        </w:rPr>
        <w:t>di</w:t>
      </w:r>
      <w:r w:rsidR="008D2645">
        <w:rPr>
          <w:rFonts w:asciiTheme="minorHAnsi" w:eastAsia="Calibri" w:hAnsiTheme="minorHAnsi" w:cstheme="minorHAnsi"/>
          <w:sz w:val="22"/>
          <w:szCs w:val="22"/>
        </w:rPr>
        <w:t xml:space="preserve"> quello</w:t>
      </w:r>
      <w:r w:rsidRPr="00684FCF">
        <w:rPr>
          <w:rFonts w:asciiTheme="minorHAnsi" w:eastAsia="Calibri" w:hAnsiTheme="minorHAnsi" w:cstheme="minorHAnsi"/>
          <w:sz w:val="22"/>
          <w:szCs w:val="22"/>
        </w:rPr>
        <w:t xml:space="preserve"> turistico (+20,2%). Sul secondo fronte, in particolare, la spinta espansiva ha riguardato tutti i mercati, sia quelli marittimi (+19,9%)</w:t>
      </w:r>
      <w:r w:rsidR="008D2645">
        <w:rPr>
          <w:rFonts w:asciiTheme="minorHAnsi" w:eastAsia="Calibri" w:hAnsiTheme="minorHAnsi" w:cstheme="minorHAnsi"/>
          <w:sz w:val="22"/>
          <w:szCs w:val="22"/>
        </w:rPr>
        <w:t>,</w:t>
      </w:r>
      <w:r w:rsidRPr="00684FCF">
        <w:rPr>
          <w:rFonts w:asciiTheme="minorHAnsi" w:eastAsia="Calibri" w:hAnsiTheme="minorHAnsi" w:cstheme="minorHAnsi"/>
          <w:sz w:val="22"/>
          <w:szCs w:val="22"/>
        </w:rPr>
        <w:t xml:space="preserve"> che quelli montani (+23,5%) </w:t>
      </w:r>
      <w:r>
        <w:rPr>
          <w:rFonts w:asciiTheme="minorHAnsi" w:eastAsia="Calibri" w:hAnsiTheme="minorHAnsi" w:cstheme="minorHAnsi"/>
          <w:sz w:val="22"/>
          <w:szCs w:val="22"/>
        </w:rPr>
        <w:t xml:space="preserve">e lacuali (+15,2%) </w:t>
      </w:r>
      <w:r w:rsidRPr="00684FCF">
        <w:rPr>
          <w:rFonts w:asciiTheme="minorHAnsi" w:eastAsia="Calibri" w:hAnsiTheme="minorHAnsi" w:cstheme="minorHAnsi"/>
          <w:sz w:val="22"/>
          <w:szCs w:val="22"/>
        </w:rPr>
        <w:t>(tav. 2).</w:t>
      </w:r>
    </w:p>
    <w:p w:rsidR="00FD65F8" w:rsidRDefault="00FD65F8" w:rsidP="008D062F">
      <w:pPr>
        <w:rPr>
          <w:rFonts w:asciiTheme="minorHAnsi" w:eastAsia="Calibri" w:hAnsiTheme="minorHAnsi" w:cstheme="minorHAnsi"/>
          <w:sz w:val="22"/>
        </w:rPr>
      </w:pPr>
    </w:p>
    <w:p w:rsidR="00F36BB9" w:rsidRPr="008D062F" w:rsidRDefault="00F36BB9" w:rsidP="00B23B9D">
      <w:pPr>
        <w:rPr>
          <w:rFonts w:asciiTheme="minorHAnsi" w:eastAsia="Calibri" w:hAnsiTheme="minorHAnsi" w:cstheme="minorHAnsi"/>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4"/>
        <w:gridCol w:w="1833"/>
        <w:gridCol w:w="1834"/>
        <w:gridCol w:w="1833"/>
        <w:gridCol w:w="1834"/>
      </w:tblGrid>
      <w:tr w:rsidR="00B23B9D" w:rsidRPr="003D3270" w:rsidTr="00CF1C82">
        <w:trPr>
          <w:trHeight w:val="340"/>
        </w:trPr>
        <w:tc>
          <w:tcPr>
            <w:tcW w:w="2444" w:type="dxa"/>
            <w:vAlign w:val="center"/>
          </w:tcPr>
          <w:p w:rsidR="00B23B9D" w:rsidRPr="00F02CF0" w:rsidRDefault="00B23B9D" w:rsidP="00CF1C82">
            <w:pPr>
              <w:jc w:val="left"/>
              <w:rPr>
                <w:rFonts w:asciiTheme="minorHAnsi" w:eastAsia="Calibri" w:hAnsiTheme="minorHAnsi" w:cstheme="minorHAnsi"/>
                <w:b w:val="0"/>
                <w:sz w:val="20"/>
              </w:rPr>
            </w:pPr>
            <w:r w:rsidRPr="00F02CF0">
              <w:rPr>
                <w:rFonts w:asciiTheme="minorHAnsi" w:eastAsia="Calibri" w:hAnsiTheme="minorHAnsi" w:cstheme="minorHAnsi"/>
                <w:b w:val="0"/>
                <w:caps w:val="0"/>
                <w:sz w:val="20"/>
              </w:rPr>
              <w:t xml:space="preserve">Tavola </w:t>
            </w:r>
            <w:r w:rsidR="00514FB7" w:rsidRPr="00F02CF0">
              <w:rPr>
                <w:rFonts w:asciiTheme="minorHAnsi" w:eastAsia="Calibri" w:hAnsiTheme="minorHAnsi" w:cstheme="minorHAnsi"/>
                <w:b w:val="0"/>
                <w:sz w:val="20"/>
              </w:rPr>
              <w:t>2</w:t>
            </w:r>
          </w:p>
        </w:tc>
        <w:tc>
          <w:tcPr>
            <w:tcW w:w="7334" w:type="dxa"/>
            <w:gridSpan w:val="4"/>
            <w:shd w:val="clear" w:color="auto" w:fill="F2F2F2" w:themeFill="background1" w:themeFillShade="F2"/>
            <w:vAlign w:val="center"/>
          </w:tcPr>
          <w:p w:rsidR="00B23B9D" w:rsidRPr="003D3270" w:rsidRDefault="00B23B9D" w:rsidP="00CF1C82">
            <w:pPr>
              <w:jc w:val="center"/>
              <w:rPr>
                <w:rFonts w:asciiTheme="minorHAnsi" w:eastAsia="Calibri" w:hAnsiTheme="minorHAnsi" w:cstheme="minorHAnsi"/>
                <w:caps w:val="0"/>
                <w:sz w:val="20"/>
              </w:rPr>
            </w:pPr>
            <w:r w:rsidRPr="003D3270">
              <w:rPr>
                <w:rFonts w:ascii="Calibri" w:hAnsi="Calibri" w:cs="Arial"/>
                <w:caps w:val="0"/>
                <w:sz w:val="20"/>
              </w:rPr>
              <w:t>Numero di compravendite di abitazioni – Variazioni % annuali</w:t>
            </w:r>
          </w:p>
        </w:tc>
      </w:tr>
      <w:tr w:rsidR="00C04B49" w:rsidRPr="003D3270" w:rsidTr="00CF1C82">
        <w:trPr>
          <w:trHeight w:val="340"/>
        </w:trPr>
        <w:tc>
          <w:tcPr>
            <w:tcW w:w="2444" w:type="dxa"/>
            <w:vAlign w:val="center"/>
          </w:tcPr>
          <w:p w:rsidR="00C04B49" w:rsidRPr="003D3270" w:rsidRDefault="00C04B49" w:rsidP="00C04B49">
            <w:pPr>
              <w:jc w:val="left"/>
              <w:rPr>
                <w:rFonts w:asciiTheme="minorHAnsi" w:eastAsia="Calibri" w:hAnsiTheme="minorHAnsi" w:cstheme="minorHAnsi"/>
                <w:b w:val="0"/>
                <w:sz w:val="20"/>
              </w:rPr>
            </w:pPr>
          </w:p>
        </w:tc>
        <w:tc>
          <w:tcPr>
            <w:tcW w:w="1833" w:type="dxa"/>
            <w:shd w:val="clear" w:color="auto" w:fill="F2F2F2" w:themeFill="background1" w:themeFillShade="F2"/>
            <w:vAlign w:val="center"/>
          </w:tcPr>
          <w:p w:rsidR="00C04B49" w:rsidRPr="00ED0C7F" w:rsidRDefault="00C04B49" w:rsidP="00C04B49">
            <w:pPr>
              <w:jc w:val="center"/>
              <w:rPr>
                <w:rFonts w:ascii="Calibri" w:hAnsi="Calibri" w:cs="Arial"/>
                <w:caps w:val="0"/>
                <w:sz w:val="20"/>
              </w:rPr>
            </w:pPr>
            <w:r w:rsidRPr="00ED0C7F">
              <w:rPr>
                <w:rFonts w:ascii="Calibri" w:hAnsi="Calibri" w:cs="Arial"/>
                <w:caps w:val="0"/>
                <w:sz w:val="20"/>
              </w:rPr>
              <w:t>2013/2012</w:t>
            </w:r>
          </w:p>
        </w:tc>
        <w:tc>
          <w:tcPr>
            <w:tcW w:w="1834" w:type="dxa"/>
            <w:shd w:val="clear" w:color="auto" w:fill="F2F2F2" w:themeFill="background1" w:themeFillShade="F2"/>
            <w:vAlign w:val="center"/>
          </w:tcPr>
          <w:p w:rsidR="00C04B49" w:rsidRPr="00ED0C7F" w:rsidRDefault="00C04B49" w:rsidP="00C04B49">
            <w:pPr>
              <w:jc w:val="center"/>
              <w:rPr>
                <w:rFonts w:ascii="Calibri" w:hAnsi="Calibri" w:cs="Arial"/>
                <w:caps w:val="0"/>
                <w:sz w:val="20"/>
              </w:rPr>
            </w:pPr>
            <w:r w:rsidRPr="00ED0C7F">
              <w:rPr>
                <w:rFonts w:ascii="Calibri" w:hAnsi="Calibri" w:cs="Arial"/>
                <w:caps w:val="0"/>
                <w:sz w:val="20"/>
              </w:rPr>
              <w:t>2014/2013</w:t>
            </w:r>
          </w:p>
        </w:tc>
        <w:tc>
          <w:tcPr>
            <w:tcW w:w="1833" w:type="dxa"/>
            <w:shd w:val="clear" w:color="auto" w:fill="F2F2F2" w:themeFill="background1" w:themeFillShade="F2"/>
            <w:vAlign w:val="center"/>
          </w:tcPr>
          <w:p w:rsidR="00C04B49" w:rsidRPr="00ED0C7F" w:rsidRDefault="00C04B49" w:rsidP="00C04B49">
            <w:pPr>
              <w:jc w:val="center"/>
              <w:rPr>
                <w:rFonts w:ascii="Calibri" w:hAnsi="Calibri" w:cs="Arial"/>
                <w:caps w:val="0"/>
                <w:sz w:val="20"/>
              </w:rPr>
            </w:pPr>
            <w:r w:rsidRPr="00ED0C7F">
              <w:rPr>
                <w:rFonts w:ascii="Calibri" w:hAnsi="Calibri" w:cs="Arial"/>
                <w:caps w:val="0"/>
                <w:sz w:val="20"/>
              </w:rPr>
              <w:t>2015/2014</w:t>
            </w:r>
          </w:p>
        </w:tc>
        <w:tc>
          <w:tcPr>
            <w:tcW w:w="1834" w:type="dxa"/>
            <w:shd w:val="clear" w:color="auto" w:fill="F2F2F2" w:themeFill="background1" w:themeFillShade="F2"/>
            <w:vAlign w:val="center"/>
          </w:tcPr>
          <w:p w:rsidR="00C04B49" w:rsidRPr="00ED0C7F" w:rsidRDefault="00C04B49" w:rsidP="00C04B49">
            <w:pPr>
              <w:jc w:val="center"/>
              <w:rPr>
                <w:rFonts w:ascii="Calibri" w:hAnsi="Calibri" w:cs="Arial"/>
                <w:caps w:val="0"/>
                <w:sz w:val="20"/>
              </w:rPr>
            </w:pPr>
            <w:r w:rsidRPr="00ED0C7F">
              <w:rPr>
                <w:rFonts w:ascii="Calibri" w:hAnsi="Calibri" w:cs="Arial"/>
                <w:caps w:val="0"/>
                <w:sz w:val="20"/>
              </w:rPr>
              <w:t>201</w:t>
            </w:r>
            <w:r>
              <w:rPr>
                <w:rFonts w:ascii="Calibri" w:hAnsi="Calibri" w:cs="Arial"/>
                <w:caps w:val="0"/>
                <w:sz w:val="20"/>
              </w:rPr>
              <w:t>6</w:t>
            </w:r>
            <w:r w:rsidRPr="00ED0C7F">
              <w:rPr>
                <w:rFonts w:ascii="Calibri" w:hAnsi="Calibri" w:cs="Arial"/>
                <w:caps w:val="0"/>
                <w:sz w:val="20"/>
              </w:rPr>
              <w:t>/201</w:t>
            </w:r>
            <w:r>
              <w:rPr>
                <w:rFonts w:ascii="Calibri" w:hAnsi="Calibri" w:cs="Arial"/>
                <w:caps w:val="0"/>
                <w:sz w:val="20"/>
              </w:rPr>
              <w:t>5</w:t>
            </w:r>
          </w:p>
        </w:tc>
      </w:tr>
      <w:tr w:rsidR="001A5409" w:rsidRPr="003D3270" w:rsidTr="00F34283">
        <w:trPr>
          <w:trHeight w:val="340"/>
        </w:trPr>
        <w:tc>
          <w:tcPr>
            <w:tcW w:w="2444" w:type="dxa"/>
            <w:shd w:val="clear" w:color="auto" w:fill="DBE5F1" w:themeFill="accent1" w:themeFillTint="33"/>
            <w:vAlign w:val="center"/>
          </w:tcPr>
          <w:p w:rsidR="001A5409" w:rsidRPr="003D3270" w:rsidRDefault="001A5409" w:rsidP="00C04B49">
            <w:pPr>
              <w:jc w:val="left"/>
              <w:rPr>
                <w:rFonts w:asciiTheme="minorHAnsi" w:eastAsia="Calibri" w:hAnsiTheme="minorHAnsi" w:cstheme="minorHAnsi"/>
                <w:sz w:val="20"/>
              </w:rPr>
            </w:pPr>
            <w:r w:rsidRPr="003D3270">
              <w:rPr>
                <w:rFonts w:asciiTheme="minorHAnsi" w:eastAsia="Calibri" w:hAnsiTheme="minorHAnsi" w:cstheme="minorHAnsi"/>
                <w:caps w:val="0"/>
                <w:sz w:val="20"/>
              </w:rPr>
              <w:t xml:space="preserve">Località lacuali </w:t>
            </w:r>
            <w:r w:rsidRPr="003D3270">
              <w:rPr>
                <w:rFonts w:asciiTheme="minorHAnsi" w:eastAsia="Calibri" w:hAnsiTheme="minorHAnsi" w:cstheme="minorHAnsi"/>
                <w:b w:val="0"/>
                <w:caps w:val="0"/>
                <w:sz w:val="16"/>
              </w:rPr>
              <w:t>(12)</w:t>
            </w:r>
          </w:p>
        </w:tc>
        <w:tc>
          <w:tcPr>
            <w:tcW w:w="1833" w:type="dxa"/>
            <w:shd w:val="clear" w:color="auto" w:fill="DBE5F1" w:themeFill="accent1" w:themeFillTint="33"/>
            <w:vAlign w:val="center"/>
          </w:tcPr>
          <w:p w:rsidR="001A5409" w:rsidRPr="00ED0C7F" w:rsidRDefault="001A5409" w:rsidP="00C04B49">
            <w:pPr>
              <w:jc w:val="center"/>
              <w:rPr>
                <w:rFonts w:ascii="Calibri" w:hAnsi="Calibri" w:cs="Arial"/>
                <w:b w:val="0"/>
                <w:sz w:val="20"/>
              </w:rPr>
            </w:pPr>
            <w:r w:rsidRPr="00ED0C7F">
              <w:rPr>
                <w:rFonts w:ascii="Calibri" w:hAnsi="Calibri" w:cs="Arial"/>
                <w:b w:val="0"/>
                <w:sz w:val="20"/>
              </w:rPr>
              <w:t>-3,4</w:t>
            </w:r>
          </w:p>
        </w:tc>
        <w:tc>
          <w:tcPr>
            <w:tcW w:w="1834" w:type="dxa"/>
            <w:shd w:val="clear" w:color="auto" w:fill="DBE5F1" w:themeFill="accent1" w:themeFillTint="33"/>
            <w:vAlign w:val="center"/>
          </w:tcPr>
          <w:p w:rsidR="001A5409" w:rsidRPr="00ED0C7F" w:rsidRDefault="001A5409" w:rsidP="00C04B49">
            <w:pPr>
              <w:jc w:val="center"/>
              <w:rPr>
                <w:rFonts w:ascii="Calibri" w:hAnsi="Calibri" w:cs="Arial"/>
                <w:b w:val="0"/>
                <w:sz w:val="20"/>
              </w:rPr>
            </w:pPr>
            <w:r w:rsidRPr="00ED0C7F">
              <w:rPr>
                <w:rFonts w:ascii="Calibri" w:hAnsi="Calibri" w:cs="Arial"/>
                <w:b w:val="0"/>
                <w:sz w:val="20"/>
              </w:rPr>
              <w:t>-4,6</w:t>
            </w:r>
          </w:p>
        </w:tc>
        <w:tc>
          <w:tcPr>
            <w:tcW w:w="1833" w:type="dxa"/>
            <w:shd w:val="clear" w:color="auto" w:fill="DBE5F1" w:themeFill="accent1" w:themeFillTint="33"/>
            <w:vAlign w:val="center"/>
          </w:tcPr>
          <w:p w:rsidR="001A5409" w:rsidRPr="00ED0C7F" w:rsidRDefault="001A5409" w:rsidP="00C04B49">
            <w:pPr>
              <w:jc w:val="center"/>
              <w:rPr>
                <w:rFonts w:ascii="Calibri" w:hAnsi="Calibri" w:cs="Arial"/>
                <w:b w:val="0"/>
                <w:sz w:val="20"/>
              </w:rPr>
            </w:pPr>
            <w:r w:rsidRPr="00ED0C7F">
              <w:rPr>
                <w:rFonts w:ascii="Calibri" w:hAnsi="Calibri" w:cs="Arial"/>
                <w:b w:val="0"/>
                <w:sz w:val="20"/>
              </w:rPr>
              <w:t>16,1</w:t>
            </w:r>
          </w:p>
        </w:tc>
        <w:tc>
          <w:tcPr>
            <w:tcW w:w="1834" w:type="dxa"/>
            <w:shd w:val="clear" w:color="auto" w:fill="DBE5F1" w:themeFill="accent1" w:themeFillTint="33"/>
            <w:vAlign w:val="bottom"/>
          </w:tcPr>
          <w:p w:rsidR="001A5409" w:rsidRPr="00F36BB9" w:rsidRDefault="001A5409">
            <w:pPr>
              <w:jc w:val="center"/>
              <w:rPr>
                <w:rFonts w:ascii="Calibri" w:hAnsi="Calibri" w:cs="Arial"/>
                <w:b w:val="0"/>
                <w:color w:val="000000"/>
                <w:sz w:val="20"/>
              </w:rPr>
            </w:pPr>
            <w:r w:rsidRPr="00F36BB9">
              <w:rPr>
                <w:rFonts w:ascii="Calibri" w:hAnsi="Calibri" w:cs="Arial"/>
                <w:b w:val="0"/>
                <w:color w:val="000000"/>
                <w:sz w:val="20"/>
              </w:rPr>
              <w:t>15,2</w:t>
            </w:r>
          </w:p>
        </w:tc>
      </w:tr>
      <w:tr w:rsidR="001A5409" w:rsidRPr="003D3270" w:rsidTr="00F34283">
        <w:trPr>
          <w:trHeight w:val="340"/>
        </w:trPr>
        <w:tc>
          <w:tcPr>
            <w:tcW w:w="2444" w:type="dxa"/>
            <w:shd w:val="clear" w:color="auto" w:fill="DBE5F1" w:themeFill="accent1" w:themeFillTint="33"/>
            <w:vAlign w:val="center"/>
          </w:tcPr>
          <w:p w:rsidR="001A5409" w:rsidRPr="003D3270" w:rsidRDefault="001A5409" w:rsidP="00C04B49">
            <w:pPr>
              <w:jc w:val="left"/>
              <w:rPr>
                <w:rFonts w:asciiTheme="minorHAnsi" w:eastAsia="Calibri" w:hAnsiTheme="minorHAnsi" w:cstheme="minorHAnsi"/>
                <w:sz w:val="20"/>
              </w:rPr>
            </w:pPr>
            <w:r w:rsidRPr="003D3270">
              <w:rPr>
                <w:rFonts w:asciiTheme="minorHAnsi" w:eastAsia="Calibri" w:hAnsiTheme="minorHAnsi" w:cstheme="minorHAnsi"/>
                <w:caps w:val="0"/>
                <w:sz w:val="20"/>
              </w:rPr>
              <w:t xml:space="preserve">Località marine </w:t>
            </w:r>
            <w:r w:rsidRPr="003D3270">
              <w:rPr>
                <w:rFonts w:asciiTheme="minorHAnsi" w:eastAsia="Calibri" w:hAnsiTheme="minorHAnsi" w:cstheme="minorHAnsi"/>
                <w:b w:val="0"/>
                <w:caps w:val="0"/>
                <w:sz w:val="16"/>
              </w:rPr>
              <w:t>(1</w:t>
            </w:r>
            <w:r>
              <w:rPr>
                <w:rFonts w:asciiTheme="minorHAnsi" w:eastAsia="Calibri" w:hAnsiTheme="minorHAnsi" w:cstheme="minorHAnsi"/>
                <w:b w:val="0"/>
                <w:caps w:val="0"/>
                <w:sz w:val="16"/>
              </w:rPr>
              <w:t>20</w:t>
            </w:r>
            <w:r w:rsidRPr="003D3270">
              <w:rPr>
                <w:rFonts w:asciiTheme="minorHAnsi" w:eastAsia="Calibri" w:hAnsiTheme="minorHAnsi" w:cstheme="minorHAnsi"/>
                <w:b w:val="0"/>
                <w:caps w:val="0"/>
                <w:sz w:val="16"/>
              </w:rPr>
              <w:t>)</w:t>
            </w:r>
          </w:p>
        </w:tc>
        <w:tc>
          <w:tcPr>
            <w:tcW w:w="1833" w:type="dxa"/>
            <w:shd w:val="clear" w:color="auto" w:fill="DBE5F1" w:themeFill="accent1" w:themeFillTint="33"/>
            <w:vAlign w:val="center"/>
          </w:tcPr>
          <w:p w:rsidR="001A5409" w:rsidRPr="00ED0C7F" w:rsidRDefault="001A5409" w:rsidP="00C04B49">
            <w:pPr>
              <w:jc w:val="center"/>
              <w:rPr>
                <w:rFonts w:ascii="Calibri" w:hAnsi="Calibri" w:cs="Arial"/>
                <w:b w:val="0"/>
                <w:sz w:val="20"/>
              </w:rPr>
            </w:pPr>
            <w:r w:rsidRPr="00ED0C7F">
              <w:rPr>
                <w:rFonts w:ascii="Calibri" w:hAnsi="Calibri" w:cs="Arial"/>
                <w:b w:val="0"/>
                <w:sz w:val="20"/>
              </w:rPr>
              <w:t>-9,8</w:t>
            </w:r>
          </w:p>
        </w:tc>
        <w:tc>
          <w:tcPr>
            <w:tcW w:w="1834" w:type="dxa"/>
            <w:shd w:val="clear" w:color="auto" w:fill="DBE5F1" w:themeFill="accent1" w:themeFillTint="33"/>
            <w:vAlign w:val="center"/>
          </w:tcPr>
          <w:p w:rsidR="001A5409" w:rsidRPr="00ED0C7F" w:rsidRDefault="001A5409" w:rsidP="00C04B49">
            <w:pPr>
              <w:jc w:val="center"/>
              <w:rPr>
                <w:rFonts w:ascii="Calibri" w:hAnsi="Calibri" w:cs="Arial"/>
                <w:b w:val="0"/>
                <w:sz w:val="20"/>
              </w:rPr>
            </w:pPr>
            <w:r w:rsidRPr="00ED0C7F">
              <w:rPr>
                <w:rFonts w:ascii="Calibri" w:hAnsi="Calibri" w:cs="Arial"/>
                <w:b w:val="0"/>
                <w:sz w:val="20"/>
              </w:rPr>
              <w:t>4,5</w:t>
            </w:r>
          </w:p>
        </w:tc>
        <w:tc>
          <w:tcPr>
            <w:tcW w:w="1833" w:type="dxa"/>
            <w:shd w:val="clear" w:color="auto" w:fill="DBE5F1" w:themeFill="accent1" w:themeFillTint="33"/>
            <w:vAlign w:val="center"/>
          </w:tcPr>
          <w:p w:rsidR="001A5409" w:rsidRPr="00ED0C7F" w:rsidRDefault="001A5409" w:rsidP="00C04B49">
            <w:pPr>
              <w:jc w:val="center"/>
              <w:rPr>
                <w:rFonts w:ascii="Calibri" w:hAnsi="Calibri" w:cs="Arial"/>
                <w:b w:val="0"/>
                <w:sz w:val="20"/>
              </w:rPr>
            </w:pPr>
            <w:r w:rsidRPr="00ED0C7F">
              <w:rPr>
                <w:rFonts w:ascii="Calibri" w:hAnsi="Calibri" w:cs="Arial"/>
                <w:b w:val="0"/>
                <w:sz w:val="20"/>
              </w:rPr>
              <w:t>6,8</w:t>
            </w:r>
          </w:p>
        </w:tc>
        <w:tc>
          <w:tcPr>
            <w:tcW w:w="1834" w:type="dxa"/>
            <w:shd w:val="clear" w:color="auto" w:fill="DBE5F1" w:themeFill="accent1" w:themeFillTint="33"/>
            <w:vAlign w:val="bottom"/>
          </w:tcPr>
          <w:p w:rsidR="001A5409" w:rsidRPr="00F36BB9" w:rsidRDefault="001A5409">
            <w:pPr>
              <w:jc w:val="center"/>
              <w:rPr>
                <w:rFonts w:ascii="Calibri" w:hAnsi="Calibri" w:cs="Arial"/>
                <w:b w:val="0"/>
                <w:color w:val="000000"/>
                <w:sz w:val="20"/>
              </w:rPr>
            </w:pPr>
            <w:r w:rsidRPr="00F36BB9">
              <w:rPr>
                <w:rFonts w:ascii="Calibri" w:hAnsi="Calibri" w:cs="Arial"/>
                <w:b w:val="0"/>
                <w:color w:val="000000"/>
                <w:sz w:val="20"/>
              </w:rPr>
              <w:t>19,9</w:t>
            </w:r>
          </w:p>
        </w:tc>
      </w:tr>
      <w:tr w:rsidR="001A5409" w:rsidRPr="003D3270" w:rsidTr="00F34283">
        <w:trPr>
          <w:trHeight w:val="340"/>
        </w:trPr>
        <w:tc>
          <w:tcPr>
            <w:tcW w:w="2444" w:type="dxa"/>
            <w:shd w:val="clear" w:color="auto" w:fill="DBE5F1" w:themeFill="accent1" w:themeFillTint="33"/>
            <w:vAlign w:val="center"/>
          </w:tcPr>
          <w:p w:rsidR="001A5409" w:rsidRPr="003D3270" w:rsidRDefault="001A5409" w:rsidP="00C04B49">
            <w:pPr>
              <w:jc w:val="left"/>
              <w:rPr>
                <w:rFonts w:asciiTheme="minorHAnsi" w:eastAsia="Calibri" w:hAnsiTheme="minorHAnsi" w:cstheme="minorHAnsi"/>
                <w:sz w:val="20"/>
              </w:rPr>
            </w:pPr>
            <w:r w:rsidRPr="003D3270">
              <w:rPr>
                <w:rFonts w:asciiTheme="minorHAnsi" w:eastAsia="Calibri" w:hAnsiTheme="minorHAnsi" w:cstheme="minorHAnsi"/>
                <w:caps w:val="0"/>
                <w:sz w:val="20"/>
              </w:rPr>
              <w:t xml:space="preserve">Località montane </w:t>
            </w:r>
            <w:r>
              <w:rPr>
                <w:rFonts w:asciiTheme="minorHAnsi" w:eastAsia="Calibri" w:hAnsiTheme="minorHAnsi" w:cstheme="minorHAnsi"/>
                <w:b w:val="0"/>
                <w:caps w:val="0"/>
                <w:sz w:val="16"/>
              </w:rPr>
              <w:t>(52</w:t>
            </w:r>
            <w:r w:rsidRPr="003D3270">
              <w:rPr>
                <w:rFonts w:asciiTheme="minorHAnsi" w:eastAsia="Calibri" w:hAnsiTheme="minorHAnsi" w:cstheme="minorHAnsi"/>
                <w:b w:val="0"/>
                <w:caps w:val="0"/>
                <w:sz w:val="16"/>
              </w:rPr>
              <w:t>)</w:t>
            </w:r>
          </w:p>
        </w:tc>
        <w:tc>
          <w:tcPr>
            <w:tcW w:w="1833" w:type="dxa"/>
            <w:shd w:val="clear" w:color="auto" w:fill="DBE5F1" w:themeFill="accent1" w:themeFillTint="33"/>
            <w:vAlign w:val="center"/>
          </w:tcPr>
          <w:p w:rsidR="001A5409" w:rsidRPr="00ED0C7F" w:rsidRDefault="001A5409" w:rsidP="00C04B49">
            <w:pPr>
              <w:jc w:val="center"/>
              <w:rPr>
                <w:rFonts w:ascii="Calibri" w:hAnsi="Calibri" w:cs="Arial"/>
                <w:b w:val="0"/>
                <w:sz w:val="20"/>
              </w:rPr>
            </w:pPr>
            <w:r w:rsidRPr="00ED0C7F">
              <w:rPr>
                <w:rFonts w:ascii="Calibri" w:hAnsi="Calibri" w:cs="Arial"/>
                <w:b w:val="0"/>
                <w:sz w:val="20"/>
              </w:rPr>
              <w:t>-6,3</w:t>
            </w:r>
          </w:p>
        </w:tc>
        <w:tc>
          <w:tcPr>
            <w:tcW w:w="1834" w:type="dxa"/>
            <w:shd w:val="clear" w:color="auto" w:fill="DBE5F1" w:themeFill="accent1" w:themeFillTint="33"/>
            <w:vAlign w:val="center"/>
          </w:tcPr>
          <w:p w:rsidR="001A5409" w:rsidRPr="00ED0C7F" w:rsidRDefault="001A5409" w:rsidP="00C04B49">
            <w:pPr>
              <w:jc w:val="center"/>
              <w:rPr>
                <w:rFonts w:ascii="Calibri" w:hAnsi="Calibri" w:cs="Arial"/>
                <w:b w:val="0"/>
                <w:sz w:val="20"/>
              </w:rPr>
            </w:pPr>
            <w:r w:rsidRPr="00ED0C7F">
              <w:rPr>
                <w:rFonts w:ascii="Calibri" w:hAnsi="Calibri" w:cs="Arial"/>
                <w:b w:val="0"/>
                <w:sz w:val="20"/>
              </w:rPr>
              <w:t>-1,7</w:t>
            </w:r>
          </w:p>
        </w:tc>
        <w:tc>
          <w:tcPr>
            <w:tcW w:w="1833" w:type="dxa"/>
            <w:shd w:val="clear" w:color="auto" w:fill="DBE5F1" w:themeFill="accent1" w:themeFillTint="33"/>
            <w:vAlign w:val="center"/>
          </w:tcPr>
          <w:p w:rsidR="001A5409" w:rsidRPr="00ED0C7F" w:rsidRDefault="001A5409" w:rsidP="00C04B49">
            <w:pPr>
              <w:jc w:val="center"/>
              <w:rPr>
                <w:rFonts w:ascii="Calibri" w:hAnsi="Calibri" w:cs="Arial"/>
                <w:b w:val="0"/>
                <w:sz w:val="20"/>
              </w:rPr>
            </w:pPr>
            <w:r w:rsidRPr="00ED0C7F">
              <w:rPr>
                <w:rFonts w:ascii="Calibri" w:hAnsi="Calibri" w:cs="Arial"/>
                <w:b w:val="0"/>
                <w:sz w:val="20"/>
              </w:rPr>
              <w:t>9,0</w:t>
            </w:r>
          </w:p>
        </w:tc>
        <w:tc>
          <w:tcPr>
            <w:tcW w:w="1834" w:type="dxa"/>
            <w:shd w:val="clear" w:color="auto" w:fill="DBE5F1" w:themeFill="accent1" w:themeFillTint="33"/>
            <w:vAlign w:val="bottom"/>
          </w:tcPr>
          <w:p w:rsidR="001A5409" w:rsidRPr="00F36BB9" w:rsidRDefault="001A5409">
            <w:pPr>
              <w:jc w:val="center"/>
              <w:rPr>
                <w:rFonts w:ascii="Calibri" w:hAnsi="Calibri" w:cs="Arial"/>
                <w:b w:val="0"/>
                <w:color w:val="000000"/>
                <w:sz w:val="20"/>
              </w:rPr>
            </w:pPr>
            <w:r w:rsidRPr="00F36BB9">
              <w:rPr>
                <w:rFonts w:ascii="Calibri" w:hAnsi="Calibri" w:cs="Arial"/>
                <w:b w:val="0"/>
                <w:color w:val="000000"/>
                <w:sz w:val="20"/>
              </w:rPr>
              <w:t>23,5</w:t>
            </w:r>
          </w:p>
        </w:tc>
      </w:tr>
      <w:tr w:rsidR="001A5409" w:rsidRPr="003D3270" w:rsidTr="00F34283">
        <w:trPr>
          <w:trHeight w:val="340"/>
        </w:trPr>
        <w:tc>
          <w:tcPr>
            <w:tcW w:w="2444" w:type="dxa"/>
            <w:shd w:val="clear" w:color="auto" w:fill="F2F2F2" w:themeFill="background1" w:themeFillShade="F2"/>
            <w:vAlign w:val="center"/>
          </w:tcPr>
          <w:p w:rsidR="001A5409" w:rsidRPr="003D3270" w:rsidRDefault="001A5409" w:rsidP="00C04B49">
            <w:pPr>
              <w:jc w:val="left"/>
              <w:rPr>
                <w:rFonts w:asciiTheme="minorHAnsi" w:eastAsia="Calibri" w:hAnsiTheme="minorHAnsi" w:cstheme="minorHAnsi"/>
                <w:caps w:val="0"/>
                <w:sz w:val="20"/>
              </w:rPr>
            </w:pPr>
            <w:r w:rsidRPr="003D3270">
              <w:rPr>
                <w:rFonts w:asciiTheme="minorHAnsi" w:eastAsia="Calibri" w:hAnsiTheme="minorHAnsi" w:cstheme="minorHAnsi"/>
                <w:caps w:val="0"/>
                <w:sz w:val="20"/>
              </w:rPr>
              <w:t>Totale località turistiche</w:t>
            </w:r>
          </w:p>
        </w:tc>
        <w:tc>
          <w:tcPr>
            <w:tcW w:w="1833" w:type="dxa"/>
            <w:shd w:val="clear" w:color="auto" w:fill="F2F2F2" w:themeFill="background1" w:themeFillShade="F2"/>
            <w:vAlign w:val="center"/>
          </w:tcPr>
          <w:p w:rsidR="001A5409" w:rsidRPr="00ED0C7F" w:rsidRDefault="001A5409" w:rsidP="00C04B49">
            <w:pPr>
              <w:jc w:val="center"/>
              <w:rPr>
                <w:rFonts w:ascii="Calibri" w:hAnsi="Calibri" w:cs="Arial"/>
                <w:sz w:val="20"/>
              </w:rPr>
            </w:pPr>
            <w:r w:rsidRPr="00ED0C7F">
              <w:rPr>
                <w:rFonts w:ascii="Calibri" w:hAnsi="Calibri" w:cs="Arial"/>
                <w:bCs w:val="0"/>
                <w:sz w:val="20"/>
              </w:rPr>
              <w:t>-9,0</w:t>
            </w:r>
          </w:p>
        </w:tc>
        <w:tc>
          <w:tcPr>
            <w:tcW w:w="1834" w:type="dxa"/>
            <w:shd w:val="clear" w:color="auto" w:fill="F2F2F2" w:themeFill="background1" w:themeFillShade="F2"/>
            <w:vAlign w:val="center"/>
          </w:tcPr>
          <w:p w:rsidR="001A5409" w:rsidRPr="00ED0C7F" w:rsidRDefault="001A5409" w:rsidP="00C04B49">
            <w:pPr>
              <w:jc w:val="center"/>
              <w:rPr>
                <w:rFonts w:ascii="Calibri" w:hAnsi="Calibri" w:cs="Arial"/>
                <w:sz w:val="20"/>
              </w:rPr>
            </w:pPr>
            <w:r w:rsidRPr="00ED0C7F">
              <w:rPr>
                <w:rFonts w:ascii="Calibri" w:hAnsi="Calibri" w:cs="Arial"/>
                <w:bCs w:val="0"/>
                <w:sz w:val="20"/>
              </w:rPr>
              <w:t>3,0</w:t>
            </w:r>
          </w:p>
        </w:tc>
        <w:tc>
          <w:tcPr>
            <w:tcW w:w="1833" w:type="dxa"/>
            <w:shd w:val="clear" w:color="auto" w:fill="F2F2F2" w:themeFill="background1" w:themeFillShade="F2"/>
            <w:vAlign w:val="center"/>
          </w:tcPr>
          <w:p w:rsidR="001A5409" w:rsidRPr="00ED0C7F" w:rsidRDefault="001A5409" w:rsidP="00C04B49">
            <w:pPr>
              <w:jc w:val="center"/>
              <w:rPr>
                <w:rFonts w:ascii="Calibri" w:hAnsi="Calibri" w:cs="Arial"/>
                <w:sz w:val="20"/>
              </w:rPr>
            </w:pPr>
            <w:r w:rsidRPr="00ED0C7F">
              <w:rPr>
                <w:rFonts w:ascii="Calibri" w:hAnsi="Calibri" w:cs="Arial"/>
                <w:bCs w:val="0"/>
                <w:sz w:val="20"/>
              </w:rPr>
              <w:t>7,6</w:t>
            </w:r>
          </w:p>
        </w:tc>
        <w:tc>
          <w:tcPr>
            <w:tcW w:w="1834" w:type="dxa"/>
            <w:shd w:val="clear" w:color="auto" w:fill="F2F2F2" w:themeFill="background1" w:themeFillShade="F2"/>
            <w:vAlign w:val="bottom"/>
          </w:tcPr>
          <w:p w:rsidR="001A5409" w:rsidRPr="00F36BB9" w:rsidRDefault="001A5409">
            <w:pPr>
              <w:jc w:val="center"/>
              <w:rPr>
                <w:rFonts w:ascii="Calibri" w:hAnsi="Calibri" w:cs="Arial"/>
                <w:color w:val="000000"/>
                <w:sz w:val="20"/>
              </w:rPr>
            </w:pPr>
            <w:r w:rsidRPr="00F36BB9">
              <w:rPr>
                <w:rFonts w:ascii="Calibri" w:hAnsi="Calibri" w:cs="Arial"/>
                <w:bCs w:val="0"/>
                <w:color w:val="000000"/>
                <w:sz w:val="20"/>
              </w:rPr>
              <w:t>20,2</w:t>
            </w:r>
          </w:p>
        </w:tc>
      </w:tr>
    </w:tbl>
    <w:p w:rsidR="00B23B9D" w:rsidRPr="003D3270" w:rsidRDefault="00B23B9D" w:rsidP="008D7331">
      <w:pPr>
        <w:spacing w:before="60"/>
        <w:rPr>
          <w:rFonts w:asciiTheme="minorHAnsi" w:eastAsia="Calibri" w:hAnsiTheme="minorHAnsi" w:cstheme="minorHAnsi"/>
          <w:sz w:val="18"/>
        </w:rPr>
      </w:pPr>
      <w:r w:rsidRPr="003D3270">
        <w:rPr>
          <w:rFonts w:asciiTheme="minorHAnsi" w:eastAsia="Calibri" w:hAnsiTheme="minorHAnsi" w:cstheme="minorHAnsi"/>
          <w:sz w:val="18"/>
        </w:rPr>
        <w:t xml:space="preserve">Fonte: </w:t>
      </w:r>
      <w:r w:rsidR="008D7331" w:rsidRPr="003D3270">
        <w:rPr>
          <w:rFonts w:asciiTheme="minorHAnsi" w:eastAsia="Calibri" w:hAnsiTheme="minorHAnsi" w:cstheme="minorHAnsi"/>
          <w:sz w:val="18"/>
        </w:rPr>
        <w:t xml:space="preserve">elaborazioni </w:t>
      </w:r>
      <w:r w:rsidRPr="003D3270">
        <w:rPr>
          <w:rFonts w:asciiTheme="minorHAnsi" w:eastAsia="Calibri" w:hAnsiTheme="minorHAnsi" w:cstheme="minorHAnsi"/>
          <w:sz w:val="18"/>
        </w:rPr>
        <w:t>Nomisma su dati Agenzia delle Entrate</w:t>
      </w:r>
    </w:p>
    <w:p w:rsidR="00B23B9D" w:rsidRPr="00264809" w:rsidRDefault="00B23B9D" w:rsidP="00B23B9D">
      <w:pPr>
        <w:rPr>
          <w:rFonts w:asciiTheme="minorHAnsi" w:eastAsia="Calibri" w:hAnsiTheme="minorHAnsi" w:cstheme="minorHAnsi"/>
          <w:sz w:val="22"/>
          <w:szCs w:val="22"/>
        </w:rPr>
      </w:pPr>
    </w:p>
    <w:p w:rsidR="008D062F" w:rsidRPr="00CA2C0B" w:rsidRDefault="00EB3AE3" w:rsidP="008D062F">
      <w:pPr>
        <w:rPr>
          <w:rFonts w:asciiTheme="minorHAnsi" w:eastAsia="Calibri" w:hAnsiTheme="minorHAnsi" w:cstheme="minorHAnsi"/>
          <w:sz w:val="22"/>
        </w:rPr>
      </w:pPr>
      <w:r w:rsidRPr="00536C7A">
        <w:rPr>
          <w:rFonts w:asciiTheme="minorHAnsi" w:eastAsia="Calibri" w:hAnsiTheme="minorHAnsi" w:cstheme="minorHAnsi"/>
          <w:sz w:val="22"/>
        </w:rPr>
        <w:t xml:space="preserve">A favorire la risalita del mercato ha contribuito, anche nelle località turistiche, l’ulteriore </w:t>
      </w:r>
      <w:r w:rsidR="00536C7A" w:rsidRPr="00536C7A">
        <w:rPr>
          <w:rFonts w:asciiTheme="minorHAnsi" w:eastAsia="Calibri" w:hAnsiTheme="minorHAnsi" w:cstheme="minorHAnsi"/>
          <w:sz w:val="22"/>
        </w:rPr>
        <w:t>diminuzione dei valori di transazione</w:t>
      </w:r>
      <w:r w:rsidRPr="00536C7A">
        <w:rPr>
          <w:rFonts w:asciiTheme="minorHAnsi" w:eastAsia="Calibri" w:hAnsiTheme="minorHAnsi" w:cstheme="minorHAnsi"/>
          <w:sz w:val="22"/>
        </w:rPr>
        <w:t xml:space="preserve">. </w:t>
      </w:r>
      <w:r w:rsidRPr="00CA2C0B">
        <w:rPr>
          <w:rFonts w:asciiTheme="minorHAnsi" w:eastAsia="Calibri" w:hAnsiTheme="minorHAnsi" w:cstheme="minorHAnsi"/>
          <w:sz w:val="22"/>
        </w:rPr>
        <w:t xml:space="preserve">Se per i mercati urbani sembra ormai prossimo l’epilogo della fase negativa, pur non mancando fattori in grado di alimentare nuovi focolai recessivi (quali l’instabilità economico-finanziaria, </w:t>
      </w:r>
      <w:r w:rsidR="008D2645">
        <w:rPr>
          <w:rFonts w:asciiTheme="minorHAnsi" w:eastAsia="Calibri" w:hAnsiTheme="minorHAnsi" w:cstheme="minorHAnsi"/>
          <w:sz w:val="22"/>
        </w:rPr>
        <w:t xml:space="preserve">la fragilità reddituale di una quota non trascurabile della domanda </w:t>
      </w:r>
      <w:r w:rsidRPr="00CA2C0B">
        <w:rPr>
          <w:rFonts w:asciiTheme="minorHAnsi" w:eastAsia="Calibri" w:hAnsiTheme="minorHAnsi" w:cstheme="minorHAnsi"/>
          <w:sz w:val="22"/>
        </w:rPr>
        <w:t xml:space="preserve">e l’effetto di eventuali massicce dismissioni di </w:t>
      </w:r>
      <w:proofErr w:type="spellStart"/>
      <w:r w:rsidRPr="00CA2C0B">
        <w:rPr>
          <w:rFonts w:asciiTheme="minorHAnsi" w:eastAsia="Calibri" w:hAnsiTheme="minorHAnsi" w:cstheme="minorHAnsi"/>
          <w:sz w:val="22"/>
        </w:rPr>
        <w:t>NPLs</w:t>
      </w:r>
      <w:proofErr w:type="spellEnd"/>
      <w:r w:rsidRPr="00CA2C0B">
        <w:rPr>
          <w:rFonts w:asciiTheme="minorHAnsi" w:eastAsia="Calibri" w:hAnsiTheme="minorHAnsi" w:cstheme="minorHAnsi"/>
          <w:sz w:val="22"/>
        </w:rPr>
        <w:t xml:space="preserve"> garantiti da immobili), per quelli secondari e turistici l’inversione del ciclo non pare ancora imminente</w:t>
      </w:r>
      <w:r w:rsidR="008D062F" w:rsidRPr="00CA2C0B">
        <w:rPr>
          <w:rFonts w:asciiTheme="minorHAnsi" w:eastAsia="Calibri" w:hAnsiTheme="minorHAnsi" w:cstheme="minorHAnsi"/>
          <w:sz w:val="22"/>
        </w:rPr>
        <w:t>.</w:t>
      </w:r>
    </w:p>
    <w:p w:rsidR="000D203E" w:rsidRPr="00C720C6" w:rsidRDefault="00CF1C82" w:rsidP="00364602">
      <w:pPr>
        <w:rPr>
          <w:rFonts w:asciiTheme="minorHAnsi" w:eastAsia="Calibri" w:hAnsiTheme="minorHAnsi" w:cstheme="minorHAnsi"/>
          <w:sz w:val="22"/>
          <w:szCs w:val="22"/>
        </w:rPr>
      </w:pPr>
      <w:r w:rsidRPr="00C720C6">
        <w:rPr>
          <w:rFonts w:asciiTheme="minorHAnsi" w:eastAsia="Calibri" w:hAnsiTheme="minorHAnsi" w:cstheme="minorHAnsi"/>
          <w:sz w:val="22"/>
          <w:szCs w:val="22"/>
        </w:rPr>
        <w:t>I</w:t>
      </w:r>
      <w:r w:rsidR="00730030" w:rsidRPr="00C720C6">
        <w:rPr>
          <w:rFonts w:asciiTheme="minorHAnsi" w:eastAsia="Calibri" w:hAnsiTheme="minorHAnsi" w:cstheme="minorHAnsi"/>
          <w:sz w:val="22"/>
          <w:szCs w:val="22"/>
        </w:rPr>
        <w:t>l segmento delle case per vacanza</w:t>
      </w:r>
      <w:r w:rsidR="008D2645">
        <w:rPr>
          <w:rFonts w:asciiTheme="minorHAnsi" w:eastAsia="Calibri" w:hAnsiTheme="minorHAnsi" w:cstheme="minorHAnsi"/>
          <w:sz w:val="22"/>
          <w:szCs w:val="22"/>
        </w:rPr>
        <w:t>, a differenza del mercato nelle maggiori aree urbane,</w:t>
      </w:r>
      <w:r w:rsidR="00730030" w:rsidRPr="00C720C6">
        <w:rPr>
          <w:rFonts w:asciiTheme="minorHAnsi" w:eastAsia="Calibri" w:hAnsiTheme="minorHAnsi" w:cstheme="minorHAnsi"/>
          <w:sz w:val="22"/>
          <w:szCs w:val="22"/>
        </w:rPr>
        <w:t xml:space="preserve"> è</w:t>
      </w:r>
      <w:r w:rsidR="000458CF">
        <w:rPr>
          <w:rFonts w:asciiTheme="minorHAnsi" w:eastAsia="Calibri" w:hAnsiTheme="minorHAnsi" w:cstheme="minorHAnsi"/>
          <w:sz w:val="22"/>
          <w:szCs w:val="22"/>
        </w:rPr>
        <w:t xml:space="preserve"> infatti</w:t>
      </w:r>
      <w:r w:rsidR="00730030" w:rsidRPr="00C720C6">
        <w:rPr>
          <w:rFonts w:asciiTheme="minorHAnsi" w:eastAsia="Calibri" w:hAnsiTheme="minorHAnsi" w:cstheme="minorHAnsi"/>
          <w:sz w:val="22"/>
          <w:szCs w:val="22"/>
        </w:rPr>
        <w:t xml:space="preserve"> stato investito da una riduzione de</w:t>
      </w:r>
      <w:r w:rsidR="000D69E5" w:rsidRPr="00C720C6">
        <w:rPr>
          <w:rFonts w:asciiTheme="minorHAnsi" w:eastAsia="Calibri" w:hAnsiTheme="minorHAnsi" w:cstheme="minorHAnsi"/>
          <w:sz w:val="22"/>
          <w:szCs w:val="22"/>
        </w:rPr>
        <w:t>i</w:t>
      </w:r>
      <w:r w:rsidR="00730030" w:rsidRPr="00C720C6">
        <w:rPr>
          <w:rFonts w:asciiTheme="minorHAnsi" w:eastAsia="Calibri" w:hAnsiTheme="minorHAnsi" w:cstheme="minorHAnsi"/>
          <w:sz w:val="22"/>
          <w:szCs w:val="22"/>
        </w:rPr>
        <w:t xml:space="preserve"> prezzi di vendita</w:t>
      </w:r>
      <w:r w:rsidR="00C720C6" w:rsidRPr="00C720C6">
        <w:rPr>
          <w:rFonts w:asciiTheme="minorHAnsi" w:eastAsia="Calibri" w:hAnsiTheme="minorHAnsi" w:cstheme="minorHAnsi"/>
          <w:sz w:val="22"/>
          <w:szCs w:val="22"/>
        </w:rPr>
        <w:t xml:space="preserve"> </w:t>
      </w:r>
      <w:r w:rsidR="000458CF">
        <w:rPr>
          <w:rFonts w:asciiTheme="minorHAnsi" w:eastAsia="Calibri" w:hAnsiTheme="minorHAnsi" w:cstheme="minorHAnsi"/>
          <w:sz w:val="22"/>
          <w:szCs w:val="22"/>
        </w:rPr>
        <w:t xml:space="preserve">lievemente </w:t>
      </w:r>
      <w:r w:rsidR="00623961">
        <w:rPr>
          <w:rFonts w:asciiTheme="minorHAnsi" w:eastAsia="Calibri" w:hAnsiTheme="minorHAnsi" w:cstheme="minorHAnsi"/>
          <w:sz w:val="22"/>
          <w:szCs w:val="22"/>
        </w:rPr>
        <w:t>superiore</w:t>
      </w:r>
      <w:r w:rsidR="00C720C6" w:rsidRPr="00C720C6">
        <w:rPr>
          <w:rFonts w:asciiTheme="minorHAnsi" w:eastAsia="Calibri" w:hAnsiTheme="minorHAnsi" w:cstheme="minorHAnsi"/>
          <w:sz w:val="22"/>
          <w:szCs w:val="22"/>
        </w:rPr>
        <w:t xml:space="preserve"> a quella del precedente anno</w:t>
      </w:r>
      <w:r w:rsidR="00C720C6">
        <w:rPr>
          <w:rFonts w:asciiTheme="minorHAnsi" w:eastAsia="Calibri" w:hAnsiTheme="minorHAnsi" w:cstheme="minorHAnsi"/>
          <w:color w:val="C0504D" w:themeColor="accent2"/>
          <w:sz w:val="22"/>
          <w:szCs w:val="22"/>
        </w:rPr>
        <w:t>.</w:t>
      </w:r>
    </w:p>
    <w:p w:rsidR="00730030" w:rsidRDefault="00CF1C82" w:rsidP="00364602">
      <w:pPr>
        <w:rPr>
          <w:rFonts w:asciiTheme="minorHAnsi" w:eastAsia="Calibri" w:hAnsiTheme="minorHAnsi" w:cstheme="minorHAnsi"/>
          <w:sz w:val="22"/>
          <w:szCs w:val="22"/>
        </w:rPr>
      </w:pPr>
      <w:r w:rsidRPr="00C720C6">
        <w:rPr>
          <w:rFonts w:asciiTheme="minorHAnsi" w:eastAsia="Calibri" w:hAnsiTheme="minorHAnsi" w:cstheme="minorHAnsi"/>
          <w:sz w:val="22"/>
          <w:szCs w:val="22"/>
        </w:rPr>
        <w:t xml:space="preserve">Il dato medio, sintesi dei mercati top, centrali e periferici delle singole località turistiche monitorate, </w:t>
      </w:r>
      <w:r w:rsidR="008D2645">
        <w:rPr>
          <w:rFonts w:asciiTheme="minorHAnsi" w:eastAsia="Calibri" w:hAnsiTheme="minorHAnsi" w:cstheme="minorHAnsi"/>
          <w:sz w:val="22"/>
          <w:szCs w:val="22"/>
        </w:rPr>
        <w:t>evidenzi</w:t>
      </w:r>
      <w:r w:rsidRPr="00C720C6">
        <w:rPr>
          <w:rFonts w:asciiTheme="minorHAnsi" w:eastAsia="Calibri" w:hAnsiTheme="minorHAnsi" w:cstheme="minorHAnsi"/>
          <w:sz w:val="22"/>
          <w:szCs w:val="22"/>
        </w:rPr>
        <w:t>a un</w:t>
      </w:r>
      <w:r w:rsidR="008D2645">
        <w:rPr>
          <w:rFonts w:asciiTheme="minorHAnsi" w:eastAsia="Calibri" w:hAnsiTheme="minorHAnsi" w:cstheme="minorHAnsi"/>
          <w:sz w:val="22"/>
          <w:szCs w:val="22"/>
        </w:rPr>
        <w:t xml:space="preserve"> arretramento del </w:t>
      </w:r>
      <w:r w:rsidRPr="00C720C6">
        <w:rPr>
          <w:rFonts w:asciiTheme="minorHAnsi" w:eastAsia="Calibri" w:hAnsiTheme="minorHAnsi" w:cstheme="minorHAnsi"/>
          <w:sz w:val="22"/>
          <w:szCs w:val="22"/>
        </w:rPr>
        <w:t>-2,</w:t>
      </w:r>
      <w:r w:rsidR="000D203E" w:rsidRPr="00C720C6">
        <w:rPr>
          <w:rFonts w:asciiTheme="minorHAnsi" w:eastAsia="Calibri" w:hAnsiTheme="minorHAnsi" w:cstheme="minorHAnsi"/>
          <w:sz w:val="22"/>
          <w:szCs w:val="22"/>
        </w:rPr>
        <w:t>5</w:t>
      </w:r>
      <w:r w:rsidRPr="00C720C6">
        <w:rPr>
          <w:rFonts w:asciiTheme="minorHAnsi" w:eastAsia="Calibri" w:hAnsiTheme="minorHAnsi" w:cstheme="minorHAnsi"/>
          <w:sz w:val="22"/>
          <w:szCs w:val="22"/>
        </w:rPr>
        <w:t>% annuo (</w:t>
      </w:r>
      <w:r w:rsidR="00C720C6">
        <w:rPr>
          <w:rFonts w:asciiTheme="minorHAnsi" w:eastAsia="Calibri" w:hAnsiTheme="minorHAnsi" w:cstheme="minorHAnsi"/>
          <w:sz w:val="22"/>
          <w:szCs w:val="22"/>
        </w:rPr>
        <w:t>rispetto a</w:t>
      </w:r>
      <w:r w:rsidRPr="00C720C6">
        <w:rPr>
          <w:rFonts w:asciiTheme="minorHAnsi" w:eastAsia="Calibri" w:hAnsiTheme="minorHAnsi" w:cstheme="minorHAnsi"/>
          <w:sz w:val="22"/>
          <w:szCs w:val="22"/>
        </w:rPr>
        <w:t>l -</w:t>
      </w:r>
      <w:r w:rsidR="000D203E" w:rsidRPr="00C720C6">
        <w:rPr>
          <w:rFonts w:asciiTheme="minorHAnsi" w:eastAsia="Calibri" w:hAnsiTheme="minorHAnsi" w:cstheme="minorHAnsi"/>
          <w:sz w:val="22"/>
          <w:szCs w:val="22"/>
        </w:rPr>
        <w:t>2,3</w:t>
      </w:r>
      <w:r w:rsidRPr="00C720C6">
        <w:rPr>
          <w:rFonts w:asciiTheme="minorHAnsi" w:eastAsia="Calibri" w:hAnsiTheme="minorHAnsi" w:cstheme="minorHAnsi"/>
          <w:sz w:val="22"/>
          <w:szCs w:val="22"/>
        </w:rPr>
        <w:t>% registrato un anno fa), con un campo di oscillazione, in funzione della tipologia abitativa, compreso tra -0,</w:t>
      </w:r>
      <w:r w:rsidR="00893C10">
        <w:rPr>
          <w:rFonts w:asciiTheme="minorHAnsi" w:eastAsia="Calibri" w:hAnsiTheme="minorHAnsi" w:cstheme="minorHAnsi"/>
          <w:sz w:val="22"/>
          <w:szCs w:val="22"/>
        </w:rPr>
        <w:t>4</w:t>
      </w:r>
      <w:r w:rsidRPr="00C720C6">
        <w:rPr>
          <w:rFonts w:asciiTheme="minorHAnsi" w:eastAsia="Calibri" w:hAnsiTheme="minorHAnsi" w:cstheme="minorHAnsi"/>
          <w:sz w:val="22"/>
          <w:szCs w:val="22"/>
        </w:rPr>
        <w:t xml:space="preserve">% e </w:t>
      </w:r>
      <w:r w:rsidR="00893C10">
        <w:rPr>
          <w:rFonts w:asciiTheme="minorHAnsi" w:eastAsia="Calibri" w:hAnsiTheme="minorHAnsi" w:cstheme="minorHAnsi"/>
          <w:sz w:val="22"/>
          <w:szCs w:val="22"/>
        </w:rPr>
        <w:t>-3</w:t>
      </w:r>
      <w:r w:rsidR="00C720C6" w:rsidRPr="00C720C6">
        <w:rPr>
          <w:rFonts w:asciiTheme="minorHAnsi" w:eastAsia="Calibri" w:hAnsiTheme="minorHAnsi" w:cstheme="minorHAnsi"/>
          <w:sz w:val="22"/>
          <w:szCs w:val="22"/>
        </w:rPr>
        <w:t>,</w:t>
      </w:r>
      <w:r w:rsidR="00893C10">
        <w:rPr>
          <w:rFonts w:asciiTheme="minorHAnsi" w:eastAsia="Calibri" w:hAnsiTheme="minorHAnsi" w:cstheme="minorHAnsi"/>
          <w:sz w:val="22"/>
          <w:szCs w:val="22"/>
        </w:rPr>
        <w:t>8</w:t>
      </w:r>
      <w:r w:rsidRPr="00C720C6">
        <w:rPr>
          <w:rFonts w:asciiTheme="minorHAnsi" w:eastAsia="Calibri" w:hAnsiTheme="minorHAnsi" w:cstheme="minorHAnsi"/>
          <w:sz w:val="22"/>
          <w:szCs w:val="22"/>
        </w:rPr>
        <w:t>%</w:t>
      </w:r>
      <w:r w:rsidR="00730030" w:rsidRPr="00C720C6">
        <w:rPr>
          <w:rFonts w:asciiTheme="minorHAnsi" w:eastAsia="Calibri" w:hAnsiTheme="minorHAnsi" w:cstheme="minorHAnsi"/>
          <w:sz w:val="22"/>
          <w:szCs w:val="22"/>
        </w:rPr>
        <w:t>.</w:t>
      </w:r>
    </w:p>
    <w:p w:rsidR="008D2645" w:rsidRPr="00C720C6" w:rsidRDefault="008D2645" w:rsidP="00364602">
      <w:pPr>
        <w:rPr>
          <w:rFonts w:asciiTheme="minorHAnsi" w:eastAsia="Calibri" w:hAnsiTheme="minorHAnsi" w:cstheme="minorHAnsi"/>
          <w:sz w:val="22"/>
          <w:szCs w:val="22"/>
        </w:rPr>
      </w:pPr>
      <w:r>
        <w:rPr>
          <w:rFonts w:asciiTheme="minorHAnsi" w:eastAsia="Calibri" w:hAnsiTheme="minorHAnsi" w:cstheme="minorHAnsi"/>
          <w:sz w:val="22"/>
          <w:szCs w:val="22"/>
        </w:rPr>
        <w:t>Il ritardato avvio della fase recessiva, la rigidità delle quotazioni nei primi anni della crisi e il perdurante eccesso di offerta sono i principali fattori alla base della residua debolezza rilevata in corrispondenza del comparto immobiliare turistico.</w:t>
      </w:r>
    </w:p>
    <w:p w:rsidR="003678A4" w:rsidRPr="00733D27" w:rsidRDefault="003678A4" w:rsidP="00364602">
      <w:pPr>
        <w:rPr>
          <w:rFonts w:asciiTheme="minorHAnsi" w:eastAsia="Calibri" w:hAnsiTheme="minorHAnsi" w:cstheme="minorHAnsi"/>
          <w:sz w:val="22"/>
          <w:szCs w:val="22"/>
          <w:highlight w:val="yellow"/>
        </w:rPr>
      </w:pPr>
    </w:p>
    <w:p w:rsidR="000D7640" w:rsidRPr="000D203E" w:rsidRDefault="00CF1C82" w:rsidP="00CF1C82">
      <w:pPr>
        <w:rPr>
          <w:rFonts w:asciiTheme="minorHAnsi" w:eastAsia="Calibri" w:hAnsiTheme="minorHAnsi" w:cstheme="minorHAnsi"/>
          <w:sz w:val="22"/>
          <w:szCs w:val="22"/>
        </w:rPr>
      </w:pPr>
      <w:r w:rsidRPr="000D203E">
        <w:rPr>
          <w:rFonts w:asciiTheme="minorHAnsi" w:eastAsia="Calibri" w:hAnsiTheme="minorHAnsi" w:cstheme="minorHAnsi"/>
          <w:sz w:val="22"/>
          <w:szCs w:val="22"/>
        </w:rPr>
        <w:t xml:space="preserve">La variabilità della flessione annuale dei prezzi in rapporto alla localizzazione è espressa </w:t>
      </w:r>
      <w:r w:rsidR="00262584">
        <w:rPr>
          <w:rFonts w:asciiTheme="minorHAnsi" w:eastAsia="Calibri" w:hAnsiTheme="minorHAnsi" w:cstheme="minorHAnsi"/>
          <w:sz w:val="22"/>
          <w:szCs w:val="22"/>
        </w:rPr>
        <w:t>dalla</w:t>
      </w:r>
      <w:r w:rsidRPr="000D203E">
        <w:rPr>
          <w:rFonts w:asciiTheme="minorHAnsi" w:eastAsia="Calibri" w:hAnsiTheme="minorHAnsi" w:cstheme="minorHAnsi"/>
          <w:sz w:val="22"/>
          <w:szCs w:val="22"/>
        </w:rPr>
        <w:t xml:space="preserve"> scala</w:t>
      </w:r>
      <w:r w:rsidR="00262584">
        <w:rPr>
          <w:rFonts w:asciiTheme="minorHAnsi" w:eastAsia="Calibri" w:hAnsiTheme="minorHAnsi" w:cstheme="minorHAnsi"/>
          <w:sz w:val="22"/>
          <w:szCs w:val="22"/>
        </w:rPr>
        <w:t xml:space="preserve"> di seguito riportata</w:t>
      </w:r>
      <w:r w:rsidRPr="000D203E">
        <w:rPr>
          <w:rFonts w:asciiTheme="minorHAnsi" w:eastAsia="Calibri" w:hAnsiTheme="minorHAnsi" w:cstheme="minorHAnsi"/>
          <w:sz w:val="22"/>
          <w:szCs w:val="22"/>
        </w:rPr>
        <w:t>, dove sono posizionate le regioni</w:t>
      </w:r>
      <w:r w:rsidR="00262584">
        <w:rPr>
          <w:rFonts w:asciiTheme="minorHAnsi" w:eastAsia="Calibri" w:hAnsiTheme="minorHAnsi" w:cstheme="minorHAnsi"/>
          <w:sz w:val="22"/>
          <w:szCs w:val="22"/>
        </w:rPr>
        <w:t xml:space="preserve"> in funzione dell’evoluzione dei valori registrata nelle</w:t>
      </w:r>
      <w:r w:rsidRPr="000D203E">
        <w:rPr>
          <w:rFonts w:asciiTheme="minorHAnsi" w:eastAsia="Calibri" w:hAnsiTheme="minorHAnsi" w:cstheme="minorHAnsi"/>
          <w:sz w:val="22"/>
          <w:szCs w:val="22"/>
        </w:rPr>
        <w:t xml:space="preserve"> località turistiche oggetto di monitoraggio</w:t>
      </w:r>
      <w:r w:rsidR="00F02CF0" w:rsidRPr="000D203E">
        <w:rPr>
          <w:rFonts w:asciiTheme="minorHAnsi" w:eastAsia="Calibri" w:hAnsiTheme="minorHAnsi" w:cstheme="minorHAnsi"/>
          <w:sz w:val="22"/>
          <w:szCs w:val="22"/>
        </w:rPr>
        <w:t>:</w:t>
      </w:r>
    </w:p>
    <w:p w:rsidR="00DC0FC2" w:rsidRDefault="00DC0FC2" w:rsidP="00F02CF0">
      <w:pPr>
        <w:spacing w:after="60"/>
        <w:jc w:val="right"/>
        <w:rPr>
          <w:rFonts w:asciiTheme="minorHAnsi" w:eastAsia="Calibri" w:hAnsiTheme="minorHAnsi" w:cstheme="minorHAnsi"/>
          <w:sz w:val="20"/>
          <w:szCs w:val="22"/>
        </w:rPr>
      </w:pPr>
    </w:p>
    <w:p w:rsidR="00F02CF0" w:rsidRDefault="00F02CF0" w:rsidP="00F02CF0">
      <w:pPr>
        <w:spacing w:after="60"/>
        <w:jc w:val="right"/>
        <w:rPr>
          <w:rFonts w:asciiTheme="minorHAnsi" w:eastAsia="Calibri" w:hAnsiTheme="minorHAnsi" w:cstheme="minorHAnsi"/>
          <w:sz w:val="20"/>
          <w:szCs w:val="22"/>
        </w:rPr>
      </w:pPr>
      <w:r w:rsidRPr="00CF1C82">
        <w:rPr>
          <w:rFonts w:asciiTheme="minorHAnsi" w:eastAsia="Calibri" w:hAnsiTheme="minorHAnsi" w:cstheme="minorHAnsi"/>
          <w:sz w:val="20"/>
          <w:szCs w:val="22"/>
        </w:rPr>
        <w:t>Tavola 3</w:t>
      </w:r>
    </w:p>
    <w:tbl>
      <w:tblPr>
        <w:tblW w:w="5000" w:type="pct"/>
        <w:tblCellMar>
          <w:left w:w="70" w:type="dxa"/>
          <w:right w:w="70" w:type="dxa"/>
        </w:tblCellMar>
        <w:tblLook w:val="04A0" w:firstRow="1" w:lastRow="0" w:firstColumn="1" w:lastColumn="0" w:noHBand="0" w:noVBand="1"/>
      </w:tblPr>
      <w:tblGrid>
        <w:gridCol w:w="1301"/>
        <w:gridCol w:w="1690"/>
        <w:gridCol w:w="2079"/>
        <w:gridCol w:w="1568"/>
        <w:gridCol w:w="1570"/>
        <w:gridCol w:w="1570"/>
      </w:tblGrid>
      <w:tr w:rsidR="00002E27" w:rsidRPr="00002E27" w:rsidTr="00D67779">
        <w:trPr>
          <w:trHeight w:val="408"/>
        </w:trPr>
        <w:tc>
          <w:tcPr>
            <w:tcW w:w="665"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002E27" w:rsidRPr="00D67779" w:rsidRDefault="00002E27" w:rsidP="00002E27">
            <w:pPr>
              <w:jc w:val="center"/>
              <w:rPr>
                <w:rFonts w:ascii="Calibri" w:hAnsi="Calibri" w:cs="Arial"/>
                <w:b/>
                <w:bCs/>
                <w:color w:val="000000"/>
                <w:sz w:val="18"/>
                <w:szCs w:val="16"/>
              </w:rPr>
            </w:pPr>
            <w:r w:rsidRPr="00D67779">
              <w:rPr>
                <w:rFonts w:ascii="Calibri" w:hAnsi="Calibri" w:cs="Arial"/>
                <w:b/>
                <w:bCs/>
                <w:color w:val="000000"/>
                <w:sz w:val="18"/>
                <w:szCs w:val="16"/>
              </w:rPr>
              <w:t>-4,5%</w:t>
            </w:r>
          </w:p>
        </w:tc>
        <w:tc>
          <w:tcPr>
            <w:tcW w:w="864" w:type="pct"/>
            <w:tcBorders>
              <w:top w:val="single" w:sz="4" w:space="0" w:color="auto"/>
              <w:left w:val="nil"/>
              <w:bottom w:val="single" w:sz="4" w:space="0" w:color="auto"/>
              <w:right w:val="single" w:sz="4" w:space="0" w:color="auto"/>
            </w:tcBorders>
            <w:shd w:val="clear" w:color="000000" w:fill="C5D9F1"/>
            <w:noWrap/>
            <w:vAlign w:val="center"/>
            <w:hideMark/>
          </w:tcPr>
          <w:p w:rsidR="00002E27" w:rsidRPr="00D67779" w:rsidRDefault="00002E27" w:rsidP="00002E27">
            <w:pPr>
              <w:jc w:val="center"/>
              <w:rPr>
                <w:rFonts w:ascii="Calibri" w:hAnsi="Calibri" w:cs="Arial"/>
                <w:b/>
                <w:bCs/>
                <w:color w:val="000000"/>
                <w:sz w:val="18"/>
                <w:szCs w:val="16"/>
              </w:rPr>
            </w:pPr>
            <w:r w:rsidRPr="00D67779">
              <w:rPr>
                <w:rFonts w:ascii="Calibri" w:hAnsi="Calibri" w:cs="Arial"/>
                <w:b/>
                <w:bCs/>
                <w:color w:val="000000"/>
                <w:sz w:val="18"/>
                <w:szCs w:val="16"/>
              </w:rPr>
              <w:t>-3,0%</w:t>
            </w:r>
          </w:p>
        </w:tc>
        <w:tc>
          <w:tcPr>
            <w:tcW w:w="1063" w:type="pct"/>
            <w:tcBorders>
              <w:top w:val="single" w:sz="4" w:space="0" w:color="auto"/>
              <w:left w:val="nil"/>
              <w:bottom w:val="single" w:sz="4" w:space="0" w:color="auto"/>
              <w:right w:val="nil"/>
            </w:tcBorders>
            <w:shd w:val="clear" w:color="000000" w:fill="1F497D"/>
            <w:vAlign w:val="center"/>
            <w:hideMark/>
          </w:tcPr>
          <w:p w:rsidR="00002E27" w:rsidRPr="00D67779" w:rsidRDefault="00002E27" w:rsidP="00002E27">
            <w:pPr>
              <w:jc w:val="center"/>
              <w:rPr>
                <w:rFonts w:ascii="Calibri" w:hAnsi="Calibri" w:cs="Arial"/>
                <w:b/>
                <w:bCs/>
                <w:color w:val="FFFFFF"/>
                <w:sz w:val="18"/>
                <w:szCs w:val="16"/>
              </w:rPr>
            </w:pPr>
            <w:r w:rsidRPr="00D67779">
              <w:rPr>
                <w:rFonts w:ascii="Calibri" w:hAnsi="Calibri" w:cs="Arial"/>
                <w:b/>
                <w:bCs/>
                <w:color w:val="FFFFFF"/>
                <w:sz w:val="18"/>
                <w:szCs w:val="16"/>
              </w:rPr>
              <w:t>Media località turistiche: -2,5%</w:t>
            </w:r>
          </w:p>
        </w:tc>
        <w:tc>
          <w:tcPr>
            <w:tcW w:w="802"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002E27" w:rsidRPr="00D67779" w:rsidRDefault="00002E27" w:rsidP="00002E27">
            <w:pPr>
              <w:jc w:val="center"/>
              <w:rPr>
                <w:rFonts w:ascii="Calibri" w:hAnsi="Calibri" w:cs="Arial"/>
                <w:b/>
                <w:bCs/>
                <w:color w:val="000000"/>
                <w:sz w:val="18"/>
                <w:szCs w:val="16"/>
              </w:rPr>
            </w:pPr>
            <w:r w:rsidRPr="00D67779">
              <w:rPr>
                <w:rFonts w:ascii="Calibri" w:hAnsi="Calibri" w:cs="Arial"/>
                <w:b/>
                <w:bCs/>
                <w:color w:val="000000"/>
                <w:sz w:val="18"/>
                <w:szCs w:val="16"/>
              </w:rPr>
              <w:t>-2%</w:t>
            </w:r>
          </w:p>
        </w:tc>
        <w:tc>
          <w:tcPr>
            <w:tcW w:w="803" w:type="pct"/>
            <w:tcBorders>
              <w:top w:val="single" w:sz="4" w:space="0" w:color="auto"/>
              <w:left w:val="nil"/>
              <w:bottom w:val="single" w:sz="4" w:space="0" w:color="auto"/>
              <w:right w:val="nil"/>
            </w:tcBorders>
            <w:shd w:val="clear" w:color="000000" w:fill="C5D9F1"/>
            <w:noWrap/>
            <w:vAlign w:val="center"/>
            <w:hideMark/>
          </w:tcPr>
          <w:p w:rsidR="00002E27" w:rsidRPr="00D67779" w:rsidRDefault="00002E27" w:rsidP="00002E27">
            <w:pPr>
              <w:jc w:val="center"/>
              <w:rPr>
                <w:rFonts w:ascii="Calibri" w:hAnsi="Calibri" w:cs="Arial"/>
                <w:b/>
                <w:bCs/>
                <w:color w:val="000000"/>
                <w:sz w:val="18"/>
                <w:szCs w:val="16"/>
              </w:rPr>
            </w:pPr>
            <w:r w:rsidRPr="00D67779">
              <w:rPr>
                <w:rFonts w:ascii="Calibri" w:hAnsi="Calibri" w:cs="Arial"/>
                <w:b/>
                <w:bCs/>
                <w:color w:val="000000"/>
                <w:sz w:val="18"/>
                <w:szCs w:val="16"/>
              </w:rPr>
              <w:t>-1,5%</w:t>
            </w:r>
          </w:p>
        </w:tc>
        <w:tc>
          <w:tcPr>
            <w:tcW w:w="803"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002E27" w:rsidRPr="00D67779" w:rsidRDefault="00002E27" w:rsidP="00002E27">
            <w:pPr>
              <w:jc w:val="center"/>
              <w:rPr>
                <w:rFonts w:ascii="Calibri" w:hAnsi="Calibri" w:cs="Arial"/>
                <w:b/>
                <w:bCs/>
                <w:color w:val="000000"/>
                <w:sz w:val="18"/>
                <w:szCs w:val="16"/>
              </w:rPr>
            </w:pPr>
            <w:r w:rsidRPr="00D67779">
              <w:rPr>
                <w:rFonts w:ascii="Calibri" w:hAnsi="Calibri" w:cs="Arial"/>
                <w:b/>
                <w:bCs/>
                <w:color w:val="000000"/>
                <w:sz w:val="18"/>
                <w:szCs w:val="16"/>
              </w:rPr>
              <w:t>-1%</w:t>
            </w:r>
          </w:p>
        </w:tc>
      </w:tr>
      <w:tr w:rsidR="00002E27" w:rsidRPr="00002E27" w:rsidTr="00D67779">
        <w:trPr>
          <w:trHeight w:val="276"/>
        </w:trPr>
        <w:tc>
          <w:tcPr>
            <w:tcW w:w="665" w:type="pct"/>
            <w:tcBorders>
              <w:top w:val="nil"/>
              <w:left w:val="single" w:sz="4" w:space="0" w:color="auto"/>
              <w:bottom w:val="nil"/>
              <w:right w:val="single" w:sz="4" w:space="0" w:color="auto"/>
            </w:tcBorders>
            <w:shd w:val="clear" w:color="000000" w:fill="EEECE1"/>
            <w:noWrap/>
            <w:vAlign w:val="bottom"/>
            <w:hideMark/>
          </w:tcPr>
          <w:p w:rsidR="00002E27" w:rsidRPr="00D67779" w:rsidRDefault="00002E27" w:rsidP="00002E27">
            <w:pPr>
              <w:jc w:val="center"/>
              <w:rPr>
                <w:rFonts w:ascii="Calibri" w:hAnsi="Calibri" w:cs="Arial"/>
                <w:color w:val="000000"/>
                <w:sz w:val="18"/>
                <w:szCs w:val="16"/>
              </w:rPr>
            </w:pPr>
            <w:r w:rsidRPr="00D67779">
              <w:rPr>
                <w:rFonts w:ascii="Calibri" w:hAnsi="Calibri" w:cs="Arial"/>
                <w:color w:val="000000"/>
                <w:sz w:val="18"/>
                <w:szCs w:val="16"/>
              </w:rPr>
              <w:t>Umbria</w:t>
            </w:r>
          </w:p>
        </w:tc>
        <w:tc>
          <w:tcPr>
            <w:tcW w:w="864" w:type="pct"/>
            <w:tcBorders>
              <w:top w:val="nil"/>
              <w:left w:val="nil"/>
              <w:bottom w:val="nil"/>
              <w:right w:val="single" w:sz="4" w:space="0" w:color="auto"/>
            </w:tcBorders>
            <w:shd w:val="clear" w:color="auto" w:fill="auto"/>
            <w:noWrap/>
            <w:vAlign w:val="bottom"/>
            <w:hideMark/>
          </w:tcPr>
          <w:p w:rsidR="00002E27" w:rsidRPr="00D67779" w:rsidRDefault="00002E27" w:rsidP="00002E27">
            <w:pPr>
              <w:jc w:val="center"/>
              <w:rPr>
                <w:rFonts w:ascii="Calibri" w:hAnsi="Calibri" w:cs="Arial"/>
                <w:color w:val="000000"/>
                <w:sz w:val="18"/>
                <w:szCs w:val="16"/>
              </w:rPr>
            </w:pPr>
            <w:r w:rsidRPr="00D67779">
              <w:rPr>
                <w:rFonts w:ascii="Calibri" w:hAnsi="Calibri" w:cs="Arial"/>
                <w:color w:val="000000"/>
                <w:sz w:val="18"/>
                <w:szCs w:val="16"/>
              </w:rPr>
              <w:t>Abruzzo</w:t>
            </w:r>
          </w:p>
        </w:tc>
        <w:tc>
          <w:tcPr>
            <w:tcW w:w="1063" w:type="pct"/>
            <w:tcBorders>
              <w:top w:val="nil"/>
              <w:left w:val="nil"/>
              <w:bottom w:val="nil"/>
              <w:right w:val="single" w:sz="4" w:space="0" w:color="auto"/>
            </w:tcBorders>
            <w:shd w:val="clear" w:color="000000" w:fill="1F497D"/>
            <w:noWrap/>
            <w:vAlign w:val="bottom"/>
            <w:hideMark/>
          </w:tcPr>
          <w:p w:rsidR="00002E27" w:rsidRPr="00D67779" w:rsidRDefault="00002E27" w:rsidP="00002E27">
            <w:pPr>
              <w:jc w:val="center"/>
              <w:rPr>
                <w:rFonts w:ascii="Calibri" w:hAnsi="Calibri" w:cs="Arial"/>
                <w:color w:val="FFFFFF"/>
                <w:sz w:val="18"/>
                <w:szCs w:val="16"/>
              </w:rPr>
            </w:pPr>
            <w:r w:rsidRPr="00D67779">
              <w:rPr>
                <w:rFonts w:ascii="Calibri" w:hAnsi="Calibri" w:cs="Arial"/>
                <w:color w:val="FFFFFF"/>
                <w:sz w:val="18"/>
                <w:szCs w:val="16"/>
              </w:rPr>
              <w:t>Emilia Romagna</w:t>
            </w:r>
          </w:p>
        </w:tc>
        <w:tc>
          <w:tcPr>
            <w:tcW w:w="802" w:type="pct"/>
            <w:tcBorders>
              <w:top w:val="nil"/>
              <w:left w:val="nil"/>
              <w:bottom w:val="nil"/>
              <w:right w:val="single" w:sz="4" w:space="0" w:color="auto"/>
            </w:tcBorders>
            <w:shd w:val="clear" w:color="000000" w:fill="EEECE1"/>
            <w:noWrap/>
            <w:vAlign w:val="bottom"/>
            <w:hideMark/>
          </w:tcPr>
          <w:p w:rsidR="00002E27" w:rsidRPr="00D67779" w:rsidRDefault="00002E27" w:rsidP="00002E27">
            <w:pPr>
              <w:jc w:val="center"/>
              <w:rPr>
                <w:rFonts w:ascii="Calibri" w:hAnsi="Calibri" w:cs="Arial"/>
                <w:color w:val="000000"/>
                <w:sz w:val="18"/>
                <w:szCs w:val="16"/>
              </w:rPr>
            </w:pPr>
            <w:r w:rsidRPr="00D67779">
              <w:rPr>
                <w:rFonts w:ascii="Calibri" w:hAnsi="Calibri" w:cs="Arial"/>
                <w:color w:val="000000"/>
                <w:sz w:val="18"/>
                <w:szCs w:val="16"/>
              </w:rPr>
              <w:t>Molise</w:t>
            </w:r>
          </w:p>
        </w:tc>
        <w:tc>
          <w:tcPr>
            <w:tcW w:w="803" w:type="pct"/>
            <w:tcBorders>
              <w:top w:val="nil"/>
              <w:left w:val="nil"/>
              <w:bottom w:val="nil"/>
              <w:right w:val="single" w:sz="4" w:space="0" w:color="auto"/>
            </w:tcBorders>
            <w:shd w:val="clear" w:color="auto" w:fill="auto"/>
            <w:noWrap/>
            <w:vAlign w:val="bottom"/>
            <w:hideMark/>
          </w:tcPr>
          <w:p w:rsidR="00002E27" w:rsidRPr="00D67779" w:rsidRDefault="00002E27" w:rsidP="00002E27">
            <w:pPr>
              <w:jc w:val="center"/>
              <w:rPr>
                <w:rFonts w:ascii="Calibri" w:hAnsi="Calibri" w:cs="Arial"/>
                <w:color w:val="000000"/>
                <w:sz w:val="18"/>
                <w:szCs w:val="16"/>
              </w:rPr>
            </w:pPr>
            <w:r w:rsidRPr="00D67779">
              <w:rPr>
                <w:rFonts w:ascii="Calibri" w:hAnsi="Calibri" w:cs="Arial"/>
                <w:color w:val="000000"/>
                <w:sz w:val="18"/>
                <w:szCs w:val="16"/>
              </w:rPr>
              <w:t>Basilicata</w:t>
            </w:r>
          </w:p>
        </w:tc>
        <w:tc>
          <w:tcPr>
            <w:tcW w:w="803" w:type="pct"/>
            <w:tcBorders>
              <w:top w:val="nil"/>
              <w:left w:val="nil"/>
              <w:bottom w:val="nil"/>
              <w:right w:val="single" w:sz="4" w:space="0" w:color="auto"/>
            </w:tcBorders>
            <w:shd w:val="clear" w:color="000000" w:fill="EEECE1"/>
            <w:noWrap/>
            <w:vAlign w:val="bottom"/>
            <w:hideMark/>
          </w:tcPr>
          <w:p w:rsidR="00002E27" w:rsidRPr="00D67779" w:rsidRDefault="00002E27" w:rsidP="00D67779">
            <w:pPr>
              <w:jc w:val="center"/>
              <w:rPr>
                <w:rFonts w:ascii="Calibri" w:hAnsi="Calibri" w:cs="Arial"/>
                <w:color w:val="000000"/>
                <w:sz w:val="18"/>
                <w:szCs w:val="16"/>
              </w:rPr>
            </w:pPr>
            <w:r w:rsidRPr="00D67779">
              <w:rPr>
                <w:rFonts w:ascii="Calibri" w:hAnsi="Calibri" w:cs="Arial"/>
                <w:color w:val="000000"/>
                <w:sz w:val="18"/>
                <w:szCs w:val="16"/>
              </w:rPr>
              <w:t>Friuli V</w:t>
            </w:r>
            <w:r w:rsidR="00D67779">
              <w:rPr>
                <w:rFonts w:ascii="Calibri" w:hAnsi="Calibri" w:cs="Arial"/>
                <w:color w:val="000000"/>
                <w:sz w:val="18"/>
                <w:szCs w:val="16"/>
              </w:rPr>
              <w:t xml:space="preserve">enezia </w:t>
            </w:r>
            <w:r w:rsidRPr="00D67779">
              <w:rPr>
                <w:rFonts w:ascii="Calibri" w:hAnsi="Calibri" w:cs="Arial"/>
                <w:color w:val="000000"/>
                <w:sz w:val="18"/>
                <w:szCs w:val="16"/>
              </w:rPr>
              <w:t>G.</w:t>
            </w:r>
          </w:p>
        </w:tc>
      </w:tr>
      <w:tr w:rsidR="00002E27" w:rsidRPr="00002E27" w:rsidTr="00D67779">
        <w:trPr>
          <w:trHeight w:val="276"/>
        </w:trPr>
        <w:tc>
          <w:tcPr>
            <w:tcW w:w="665" w:type="pct"/>
            <w:tcBorders>
              <w:top w:val="nil"/>
              <w:left w:val="single" w:sz="4" w:space="0" w:color="auto"/>
              <w:bottom w:val="nil"/>
              <w:right w:val="single" w:sz="4" w:space="0" w:color="auto"/>
            </w:tcBorders>
            <w:shd w:val="clear" w:color="000000" w:fill="EEECE1"/>
            <w:noWrap/>
            <w:vAlign w:val="bottom"/>
            <w:hideMark/>
          </w:tcPr>
          <w:p w:rsidR="00002E27" w:rsidRPr="00D67779" w:rsidRDefault="00002E27" w:rsidP="00002E27">
            <w:pPr>
              <w:jc w:val="center"/>
              <w:rPr>
                <w:rFonts w:ascii="Calibri" w:hAnsi="Calibri" w:cs="Arial"/>
                <w:color w:val="000000"/>
                <w:sz w:val="18"/>
                <w:szCs w:val="16"/>
              </w:rPr>
            </w:pPr>
            <w:r w:rsidRPr="00D67779">
              <w:rPr>
                <w:rFonts w:ascii="Calibri" w:hAnsi="Calibri" w:cs="Arial"/>
                <w:color w:val="000000"/>
                <w:sz w:val="18"/>
                <w:szCs w:val="16"/>
              </w:rPr>
              <w:t> </w:t>
            </w:r>
          </w:p>
        </w:tc>
        <w:tc>
          <w:tcPr>
            <w:tcW w:w="864" w:type="pct"/>
            <w:tcBorders>
              <w:top w:val="nil"/>
              <w:left w:val="nil"/>
              <w:bottom w:val="nil"/>
              <w:right w:val="single" w:sz="4" w:space="0" w:color="auto"/>
            </w:tcBorders>
            <w:shd w:val="clear" w:color="auto" w:fill="auto"/>
            <w:noWrap/>
            <w:vAlign w:val="bottom"/>
            <w:hideMark/>
          </w:tcPr>
          <w:p w:rsidR="00002E27" w:rsidRPr="00D67779" w:rsidRDefault="00002E27" w:rsidP="00002E27">
            <w:pPr>
              <w:jc w:val="center"/>
              <w:rPr>
                <w:rFonts w:ascii="Calibri" w:hAnsi="Calibri" w:cs="Arial"/>
                <w:color w:val="000000"/>
                <w:sz w:val="18"/>
                <w:szCs w:val="16"/>
              </w:rPr>
            </w:pPr>
            <w:r w:rsidRPr="00D67779">
              <w:rPr>
                <w:rFonts w:ascii="Calibri" w:hAnsi="Calibri" w:cs="Arial"/>
                <w:color w:val="000000"/>
                <w:sz w:val="18"/>
                <w:szCs w:val="16"/>
              </w:rPr>
              <w:t>Lazio</w:t>
            </w:r>
          </w:p>
        </w:tc>
        <w:tc>
          <w:tcPr>
            <w:tcW w:w="1063" w:type="pct"/>
            <w:tcBorders>
              <w:top w:val="nil"/>
              <w:left w:val="nil"/>
              <w:bottom w:val="nil"/>
              <w:right w:val="single" w:sz="4" w:space="0" w:color="auto"/>
            </w:tcBorders>
            <w:shd w:val="clear" w:color="000000" w:fill="1F497D"/>
            <w:noWrap/>
            <w:vAlign w:val="bottom"/>
            <w:hideMark/>
          </w:tcPr>
          <w:p w:rsidR="00002E27" w:rsidRPr="00D67779" w:rsidRDefault="00002E27" w:rsidP="00002E27">
            <w:pPr>
              <w:jc w:val="center"/>
              <w:rPr>
                <w:rFonts w:ascii="Calibri" w:hAnsi="Calibri" w:cs="Arial"/>
                <w:color w:val="FFFFFF"/>
                <w:sz w:val="18"/>
                <w:szCs w:val="16"/>
              </w:rPr>
            </w:pPr>
            <w:r w:rsidRPr="00D67779">
              <w:rPr>
                <w:rFonts w:ascii="Calibri" w:hAnsi="Calibri" w:cs="Arial"/>
                <w:color w:val="FFFFFF"/>
                <w:sz w:val="18"/>
                <w:szCs w:val="16"/>
              </w:rPr>
              <w:t>Liguria</w:t>
            </w:r>
          </w:p>
        </w:tc>
        <w:tc>
          <w:tcPr>
            <w:tcW w:w="802" w:type="pct"/>
            <w:tcBorders>
              <w:top w:val="nil"/>
              <w:left w:val="nil"/>
              <w:bottom w:val="nil"/>
              <w:right w:val="nil"/>
            </w:tcBorders>
            <w:shd w:val="clear" w:color="000000" w:fill="EEECE1"/>
            <w:noWrap/>
            <w:vAlign w:val="bottom"/>
            <w:hideMark/>
          </w:tcPr>
          <w:p w:rsidR="00002E27" w:rsidRPr="00D67779" w:rsidRDefault="00002E27" w:rsidP="00002E27">
            <w:pPr>
              <w:jc w:val="center"/>
              <w:rPr>
                <w:rFonts w:ascii="Calibri" w:hAnsi="Calibri" w:cs="Arial"/>
                <w:color w:val="000000"/>
                <w:sz w:val="18"/>
                <w:szCs w:val="16"/>
              </w:rPr>
            </w:pPr>
            <w:r w:rsidRPr="00D67779">
              <w:rPr>
                <w:rFonts w:ascii="Calibri" w:hAnsi="Calibri" w:cs="Arial"/>
                <w:color w:val="000000"/>
                <w:sz w:val="18"/>
                <w:szCs w:val="16"/>
              </w:rPr>
              <w:t>Piemonte</w:t>
            </w:r>
          </w:p>
        </w:tc>
        <w:tc>
          <w:tcPr>
            <w:tcW w:w="803" w:type="pct"/>
            <w:tcBorders>
              <w:top w:val="nil"/>
              <w:left w:val="single" w:sz="4" w:space="0" w:color="auto"/>
              <w:bottom w:val="nil"/>
              <w:right w:val="single" w:sz="4" w:space="0" w:color="auto"/>
            </w:tcBorders>
            <w:shd w:val="clear" w:color="auto" w:fill="auto"/>
            <w:noWrap/>
            <w:vAlign w:val="bottom"/>
            <w:hideMark/>
          </w:tcPr>
          <w:p w:rsidR="00002E27" w:rsidRPr="00D67779" w:rsidRDefault="00002E27" w:rsidP="00002E27">
            <w:pPr>
              <w:jc w:val="center"/>
              <w:rPr>
                <w:rFonts w:ascii="Calibri" w:hAnsi="Calibri" w:cs="Arial"/>
                <w:color w:val="000000"/>
                <w:sz w:val="18"/>
                <w:szCs w:val="16"/>
              </w:rPr>
            </w:pPr>
            <w:r w:rsidRPr="00D67779">
              <w:rPr>
                <w:rFonts w:ascii="Calibri" w:hAnsi="Calibri" w:cs="Arial"/>
                <w:color w:val="000000"/>
                <w:sz w:val="18"/>
                <w:szCs w:val="16"/>
              </w:rPr>
              <w:t>Calabria</w:t>
            </w:r>
          </w:p>
        </w:tc>
        <w:tc>
          <w:tcPr>
            <w:tcW w:w="803" w:type="pct"/>
            <w:tcBorders>
              <w:top w:val="nil"/>
              <w:left w:val="nil"/>
              <w:bottom w:val="nil"/>
              <w:right w:val="single" w:sz="4" w:space="0" w:color="auto"/>
            </w:tcBorders>
            <w:shd w:val="clear" w:color="000000" w:fill="EEECE1"/>
            <w:noWrap/>
            <w:vAlign w:val="bottom"/>
            <w:hideMark/>
          </w:tcPr>
          <w:p w:rsidR="00002E27" w:rsidRPr="00D67779" w:rsidRDefault="00002E27" w:rsidP="00002E27">
            <w:pPr>
              <w:jc w:val="center"/>
              <w:rPr>
                <w:rFonts w:ascii="Calibri" w:hAnsi="Calibri" w:cs="Arial"/>
                <w:color w:val="000000"/>
                <w:sz w:val="18"/>
                <w:szCs w:val="16"/>
              </w:rPr>
            </w:pPr>
            <w:r w:rsidRPr="00D67779">
              <w:rPr>
                <w:rFonts w:ascii="Calibri" w:hAnsi="Calibri" w:cs="Arial"/>
                <w:color w:val="000000"/>
                <w:sz w:val="18"/>
                <w:szCs w:val="16"/>
              </w:rPr>
              <w:t>Puglia</w:t>
            </w:r>
          </w:p>
        </w:tc>
      </w:tr>
      <w:tr w:rsidR="00002E27" w:rsidRPr="00002E27" w:rsidTr="00D67779">
        <w:trPr>
          <w:trHeight w:val="276"/>
        </w:trPr>
        <w:tc>
          <w:tcPr>
            <w:tcW w:w="665" w:type="pct"/>
            <w:tcBorders>
              <w:top w:val="nil"/>
              <w:left w:val="single" w:sz="4" w:space="0" w:color="auto"/>
              <w:bottom w:val="nil"/>
              <w:right w:val="single" w:sz="4" w:space="0" w:color="auto"/>
            </w:tcBorders>
            <w:shd w:val="clear" w:color="000000" w:fill="EEECE1"/>
            <w:noWrap/>
            <w:vAlign w:val="bottom"/>
            <w:hideMark/>
          </w:tcPr>
          <w:p w:rsidR="00002E27" w:rsidRPr="00D67779" w:rsidRDefault="00002E27" w:rsidP="00002E27">
            <w:pPr>
              <w:jc w:val="center"/>
              <w:rPr>
                <w:rFonts w:ascii="Calibri" w:hAnsi="Calibri" w:cs="Arial"/>
                <w:color w:val="000000"/>
                <w:sz w:val="18"/>
                <w:szCs w:val="16"/>
              </w:rPr>
            </w:pPr>
            <w:r w:rsidRPr="00D67779">
              <w:rPr>
                <w:rFonts w:ascii="Calibri" w:hAnsi="Calibri" w:cs="Arial"/>
                <w:color w:val="000000"/>
                <w:sz w:val="18"/>
                <w:szCs w:val="16"/>
              </w:rPr>
              <w:t> </w:t>
            </w:r>
          </w:p>
        </w:tc>
        <w:tc>
          <w:tcPr>
            <w:tcW w:w="864" w:type="pct"/>
            <w:tcBorders>
              <w:top w:val="nil"/>
              <w:left w:val="nil"/>
              <w:bottom w:val="nil"/>
              <w:right w:val="single" w:sz="4" w:space="0" w:color="auto"/>
            </w:tcBorders>
            <w:shd w:val="clear" w:color="auto" w:fill="auto"/>
            <w:noWrap/>
            <w:vAlign w:val="bottom"/>
            <w:hideMark/>
          </w:tcPr>
          <w:p w:rsidR="00002E27" w:rsidRPr="00D67779" w:rsidRDefault="00002E27" w:rsidP="00002E27">
            <w:pPr>
              <w:jc w:val="center"/>
              <w:rPr>
                <w:rFonts w:ascii="Calibri" w:hAnsi="Calibri" w:cs="Arial"/>
                <w:color w:val="000000"/>
                <w:sz w:val="18"/>
                <w:szCs w:val="16"/>
              </w:rPr>
            </w:pPr>
            <w:r w:rsidRPr="00D67779">
              <w:rPr>
                <w:rFonts w:ascii="Calibri" w:hAnsi="Calibri" w:cs="Arial"/>
                <w:color w:val="000000"/>
                <w:sz w:val="18"/>
                <w:szCs w:val="16"/>
              </w:rPr>
              <w:t>Lombardia</w:t>
            </w:r>
          </w:p>
        </w:tc>
        <w:tc>
          <w:tcPr>
            <w:tcW w:w="1063" w:type="pct"/>
            <w:tcBorders>
              <w:top w:val="nil"/>
              <w:left w:val="nil"/>
              <w:bottom w:val="nil"/>
              <w:right w:val="single" w:sz="4" w:space="0" w:color="auto"/>
            </w:tcBorders>
            <w:shd w:val="clear" w:color="000000" w:fill="1F497D"/>
            <w:noWrap/>
            <w:vAlign w:val="bottom"/>
            <w:hideMark/>
          </w:tcPr>
          <w:p w:rsidR="00002E27" w:rsidRPr="00D67779" w:rsidRDefault="00002E27" w:rsidP="00002E27">
            <w:pPr>
              <w:jc w:val="center"/>
              <w:rPr>
                <w:rFonts w:ascii="Calibri" w:hAnsi="Calibri" w:cs="Arial"/>
                <w:color w:val="FFFFFF"/>
                <w:sz w:val="18"/>
                <w:szCs w:val="16"/>
              </w:rPr>
            </w:pPr>
            <w:r w:rsidRPr="00D67779">
              <w:rPr>
                <w:rFonts w:ascii="Calibri" w:hAnsi="Calibri" w:cs="Arial"/>
                <w:color w:val="FFFFFF"/>
                <w:sz w:val="18"/>
                <w:szCs w:val="16"/>
              </w:rPr>
              <w:t>Sardegna</w:t>
            </w:r>
          </w:p>
        </w:tc>
        <w:tc>
          <w:tcPr>
            <w:tcW w:w="802" w:type="pct"/>
            <w:tcBorders>
              <w:top w:val="nil"/>
              <w:left w:val="nil"/>
              <w:bottom w:val="nil"/>
              <w:right w:val="nil"/>
            </w:tcBorders>
            <w:shd w:val="clear" w:color="000000" w:fill="EEECE1"/>
            <w:noWrap/>
            <w:vAlign w:val="bottom"/>
            <w:hideMark/>
          </w:tcPr>
          <w:p w:rsidR="00002E27" w:rsidRPr="00D67779" w:rsidRDefault="00002E27" w:rsidP="00002E27">
            <w:pPr>
              <w:jc w:val="center"/>
              <w:rPr>
                <w:rFonts w:ascii="Calibri" w:hAnsi="Calibri" w:cs="Arial"/>
                <w:color w:val="000000"/>
                <w:sz w:val="18"/>
                <w:szCs w:val="16"/>
              </w:rPr>
            </w:pPr>
            <w:r w:rsidRPr="00D67779">
              <w:rPr>
                <w:rFonts w:ascii="Calibri" w:hAnsi="Calibri" w:cs="Arial"/>
                <w:color w:val="000000"/>
                <w:sz w:val="18"/>
                <w:szCs w:val="16"/>
              </w:rPr>
              <w:t>Sicilia</w:t>
            </w:r>
          </w:p>
        </w:tc>
        <w:tc>
          <w:tcPr>
            <w:tcW w:w="803" w:type="pct"/>
            <w:tcBorders>
              <w:top w:val="nil"/>
              <w:left w:val="single" w:sz="4" w:space="0" w:color="auto"/>
              <w:bottom w:val="nil"/>
              <w:right w:val="single" w:sz="4" w:space="0" w:color="auto"/>
            </w:tcBorders>
            <w:shd w:val="clear" w:color="auto" w:fill="auto"/>
            <w:noWrap/>
            <w:vAlign w:val="bottom"/>
            <w:hideMark/>
          </w:tcPr>
          <w:p w:rsidR="00002E27" w:rsidRPr="00D67779" w:rsidRDefault="00002E27" w:rsidP="00002E27">
            <w:pPr>
              <w:jc w:val="center"/>
              <w:rPr>
                <w:rFonts w:ascii="Calibri" w:hAnsi="Calibri" w:cs="Arial"/>
                <w:color w:val="000000"/>
                <w:sz w:val="18"/>
                <w:szCs w:val="16"/>
              </w:rPr>
            </w:pPr>
            <w:r w:rsidRPr="00D67779">
              <w:rPr>
                <w:rFonts w:ascii="Calibri" w:hAnsi="Calibri" w:cs="Arial"/>
                <w:color w:val="000000"/>
                <w:sz w:val="18"/>
                <w:szCs w:val="16"/>
              </w:rPr>
              <w:t>Campania</w:t>
            </w:r>
          </w:p>
        </w:tc>
        <w:tc>
          <w:tcPr>
            <w:tcW w:w="803" w:type="pct"/>
            <w:tcBorders>
              <w:top w:val="nil"/>
              <w:left w:val="nil"/>
              <w:bottom w:val="nil"/>
              <w:right w:val="single" w:sz="4" w:space="0" w:color="auto"/>
            </w:tcBorders>
            <w:shd w:val="clear" w:color="000000" w:fill="EEECE1"/>
            <w:noWrap/>
            <w:vAlign w:val="bottom"/>
            <w:hideMark/>
          </w:tcPr>
          <w:p w:rsidR="00002E27" w:rsidRPr="00D67779" w:rsidRDefault="00002E27" w:rsidP="00002E27">
            <w:pPr>
              <w:jc w:val="center"/>
              <w:rPr>
                <w:rFonts w:ascii="Calibri" w:hAnsi="Calibri" w:cs="Arial"/>
                <w:color w:val="000000"/>
                <w:sz w:val="18"/>
                <w:szCs w:val="16"/>
              </w:rPr>
            </w:pPr>
            <w:r w:rsidRPr="00D67779">
              <w:rPr>
                <w:rFonts w:ascii="Calibri" w:hAnsi="Calibri" w:cs="Arial"/>
                <w:color w:val="000000"/>
                <w:sz w:val="18"/>
                <w:szCs w:val="16"/>
              </w:rPr>
              <w:t> </w:t>
            </w:r>
          </w:p>
        </w:tc>
      </w:tr>
      <w:tr w:rsidR="00002E27" w:rsidRPr="00002E27" w:rsidTr="00D67779">
        <w:trPr>
          <w:trHeight w:val="276"/>
        </w:trPr>
        <w:tc>
          <w:tcPr>
            <w:tcW w:w="665" w:type="pct"/>
            <w:tcBorders>
              <w:top w:val="nil"/>
              <w:left w:val="single" w:sz="4" w:space="0" w:color="auto"/>
              <w:bottom w:val="nil"/>
              <w:right w:val="single" w:sz="4" w:space="0" w:color="auto"/>
            </w:tcBorders>
            <w:shd w:val="clear" w:color="000000" w:fill="EEECE1"/>
            <w:noWrap/>
            <w:vAlign w:val="bottom"/>
            <w:hideMark/>
          </w:tcPr>
          <w:p w:rsidR="00002E27" w:rsidRPr="00D67779" w:rsidRDefault="00002E27" w:rsidP="00002E27">
            <w:pPr>
              <w:jc w:val="center"/>
              <w:rPr>
                <w:rFonts w:ascii="Calibri" w:hAnsi="Calibri" w:cs="Arial"/>
                <w:color w:val="000000"/>
                <w:sz w:val="18"/>
                <w:szCs w:val="16"/>
              </w:rPr>
            </w:pPr>
            <w:r w:rsidRPr="00D67779">
              <w:rPr>
                <w:rFonts w:ascii="Calibri" w:hAnsi="Calibri" w:cs="Arial"/>
                <w:color w:val="000000"/>
                <w:sz w:val="18"/>
                <w:szCs w:val="16"/>
              </w:rPr>
              <w:t> </w:t>
            </w:r>
          </w:p>
        </w:tc>
        <w:tc>
          <w:tcPr>
            <w:tcW w:w="864" w:type="pct"/>
            <w:tcBorders>
              <w:top w:val="nil"/>
              <w:left w:val="nil"/>
              <w:bottom w:val="nil"/>
              <w:right w:val="single" w:sz="4" w:space="0" w:color="auto"/>
            </w:tcBorders>
            <w:shd w:val="clear" w:color="auto" w:fill="auto"/>
            <w:noWrap/>
            <w:vAlign w:val="bottom"/>
            <w:hideMark/>
          </w:tcPr>
          <w:p w:rsidR="00002E27" w:rsidRPr="00D67779" w:rsidRDefault="00002E27" w:rsidP="00002E27">
            <w:pPr>
              <w:jc w:val="center"/>
              <w:rPr>
                <w:rFonts w:ascii="Calibri" w:hAnsi="Calibri" w:cs="Arial"/>
                <w:color w:val="000000"/>
                <w:sz w:val="18"/>
                <w:szCs w:val="16"/>
              </w:rPr>
            </w:pPr>
            <w:r w:rsidRPr="00D67779">
              <w:rPr>
                <w:rFonts w:ascii="Calibri" w:hAnsi="Calibri" w:cs="Arial"/>
                <w:color w:val="000000"/>
                <w:sz w:val="18"/>
                <w:szCs w:val="16"/>
              </w:rPr>
              <w:t>Marche</w:t>
            </w:r>
          </w:p>
        </w:tc>
        <w:tc>
          <w:tcPr>
            <w:tcW w:w="1063" w:type="pct"/>
            <w:tcBorders>
              <w:top w:val="nil"/>
              <w:left w:val="nil"/>
              <w:bottom w:val="nil"/>
              <w:right w:val="single" w:sz="4" w:space="0" w:color="auto"/>
            </w:tcBorders>
            <w:shd w:val="clear" w:color="000000" w:fill="1F497D"/>
            <w:noWrap/>
            <w:vAlign w:val="bottom"/>
            <w:hideMark/>
          </w:tcPr>
          <w:p w:rsidR="00002E27" w:rsidRPr="00D67779" w:rsidRDefault="00002E27" w:rsidP="00002E27">
            <w:pPr>
              <w:jc w:val="center"/>
              <w:rPr>
                <w:rFonts w:ascii="Calibri" w:hAnsi="Calibri" w:cs="Arial"/>
                <w:color w:val="FFFFFF"/>
                <w:sz w:val="18"/>
                <w:szCs w:val="16"/>
              </w:rPr>
            </w:pPr>
            <w:r w:rsidRPr="00D67779">
              <w:rPr>
                <w:rFonts w:ascii="Calibri" w:hAnsi="Calibri" w:cs="Arial"/>
                <w:color w:val="FFFFFF"/>
                <w:sz w:val="18"/>
                <w:szCs w:val="16"/>
              </w:rPr>
              <w:t>Trentino-Alto A</w:t>
            </w:r>
            <w:r w:rsidR="00D67779">
              <w:rPr>
                <w:rFonts w:ascii="Calibri" w:hAnsi="Calibri" w:cs="Arial"/>
                <w:color w:val="FFFFFF"/>
                <w:sz w:val="18"/>
                <w:szCs w:val="16"/>
              </w:rPr>
              <w:t>dige</w:t>
            </w:r>
          </w:p>
        </w:tc>
        <w:tc>
          <w:tcPr>
            <w:tcW w:w="802" w:type="pct"/>
            <w:tcBorders>
              <w:top w:val="nil"/>
              <w:left w:val="nil"/>
              <w:bottom w:val="nil"/>
              <w:right w:val="nil"/>
            </w:tcBorders>
            <w:shd w:val="clear" w:color="000000" w:fill="EEECE1"/>
            <w:noWrap/>
            <w:vAlign w:val="bottom"/>
            <w:hideMark/>
          </w:tcPr>
          <w:p w:rsidR="00002E27" w:rsidRPr="00D67779" w:rsidRDefault="00002E27" w:rsidP="00002E27">
            <w:pPr>
              <w:jc w:val="center"/>
              <w:rPr>
                <w:rFonts w:ascii="Calibri" w:hAnsi="Calibri" w:cs="Arial"/>
                <w:color w:val="000000"/>
                <w:sz w:val="18"/>
                <w:szCs w:val="16"/>
              </w:rPr>
            </w:pPr>
            <w:r w:rsidRPr="00D67779">
              <w:rPr>
                <w:rFonts w:ascii="Calibri" w:hAnsi="Calibri" w:cs="Arial"/>
                <w:color w:val="000000"/>
                <w:sz w:val="18"/>
                <w:szCs w:val="16"/>
              </w:rPr>
              <w:t> </w:t>
            </w:r>
          </w:p>
        </w:tc>
        <w:tc>
          <w:tcPr>
            <w:tcW w:w="803" w:type="pct"/>
            <w:tcBorders>
              <w:top w:val="nil"/>
              <w:left w:val="single" w:sz="4" w:space="0" w:color="auto"/>
              <w:bottom w:val="nil"/>
              <w:right w:val="single" w:sz="4" w:space="0" w:color="auto"/>
            </w:tcBorders>
            <w:shd w:val="clear" w:color="auto" w:fill="auto"/>
            <w:noWrap/>
            <w:vAlign w:val="bottom"/>
            <w:hideMark/>
          </w:tcPr>
          <w:p w:rsidR="00002E27" w:rsidRPr="00D67779" w:rsidRDefault="00002E27" w:rsidP="00002E27">
            <w:pPr>
              <w:jc w:val="center"/>
              <w:rPr>
                <w:rFonts w:ascii="Calibri" w:hAnsi="Calibri" w:cs="Arial"/>
                <w:color w:val="000000"/>
                <w:sz w:val="18"/>
                <w:szCs w:val="16"/>
              </w:rPr>
            </w:pPr>
            <w:r w:rsidRPr="00D67779">
              <w:rPr>
                <w:rFonts w:ascii="Calibri" w:hAnsi="Calibri" w:cs="Arial"/>
                <w:color w:val="000000"/>
                <w:sz w:val="18"/>
                <w:szCs w:val="16"/>
              </w:rPr>
              <w:t>Veneto</w:t>
            </w:r>
          </w:p>
        </w:tc>
        <w:tc>
          <w:tcPr>
            <w:tcW w:w="803" w:type="pct"/>
            <w:tcBorders>
              <w:top w:val="nil"/>
              <w:left w:val="nil"/>
              <w:bottom w:val="nil"/>
              <w:right w:val="single" w:sz="4" w:space="0" w:color="auto"/>
            </w:tcBorders>
            <w:shd w:val="clear" w:color="000000" w:fill="EEECE1"/>
            <w:noWrap/>
            <w:vAlign w:val="bottom"/>
            <w:hideMark/>
          </w:tcPr>
          <w:p w:rsidR="00002E27" w:rsidRPr="00D67779" w:rsidRDefault="00002E27" w:rsidP="00002E27">
            <w:pPr>
              <w:jc w:val="center"/>
              <w:rPr>
                <w:rFonts w:ascii="Calibri" w:hAnsi="Calibri" w:cs="Arial"/>
                <w:color w:val="000000"/>
                <w:sz w:val="18"/>
                <w:szCs w:val="16"/>
              </w:rPr>
            </w:pPr>
            <w:r w:rsidRPr="00D67779">
              <w:rPr>
                <w:rFonts w:ascii="Calibri" w:hAnsi="Calibri" w:cs="Arial"/>
                <w:color w:val="000000"/>
                <w:sz w:val="18"/>
                <w:szCs w:val="16"/>
              </w:rPr>
              <w:t> </w:t>
            </w:r>
          </w:p>
        </w:tc>
      </w:tr>
      <w:tr w:rsidR="00002E27" w:rsidRPr="00002E27" w:rsidTr="00D67779">
        <w:trPr>
          <w:trHeight w:val="276"/>
        </w:trPr>
        <w:tc>
          <w:tcPr>
            <w:tcW w:w="665" w:type="pct"/>
            <w:tcBorders>
              <w:top w:val="nil"/>
              <w:left w:val="single" w:sz="4" w:space="0" w:color="auto"/>
              <w:bottom w:val="nil"/>
              <w:right w:val="single" w:sz="4" w:space="0" w:color="auto"/>
            </w:tcBorders>
            <w:shd w:val="clear" w:color="000000" w:fill="EEECE1"/>
            <w:noWrap/>
            <w:vAlign w:val="bottom"/>
            <w:hideMark/>
          </w:tcPr>
          <w:p w:rsidR="00002E27" w:rsidRPr="00D67779" w:rsidRDefault="00002E27" w:rsidP="00002E27">
            <w:pPr>
              <w:jc w:val="center"/>
              <w:rPr>
                <w:rFonts w:ascii="Calibri" w:hAnsi="Calibri" w:cs="Arial"/>
                <w:color w:val="000000"/>
                <w:sz w:val="18"/>
                <w:szCs w:val="16"/>
              </w:rPr>
            </w:pPr>
            <w:r w:rsidRPr="00D67779">
              <w:rPr>
                <w:rFonts w:ascii="Calibri" w:hAnsi="Calibri" w:cs="Arial"/>
                <w:color w:val="000000"/>
                <w:sz w:val="18"/>
                <w:szCs w:val="16"/>
              </w:rPr>
              <w:t> </w:t>
            </w:r>
          </w:p>
        </w:tc>
        <w:tc>
          <w:tcPr>
            <w:tcW w:w="864" w:type="pct"/>
            <w:tcBorders>
              <w:top w:val="nil"/>
              <w:left w:val="nil"/>
              <w:bottom w:val="nil"/>
              <w:right w:val="single" w:sz="4" w:space="0" w:color="auto"/>
            </w:tcBorders>
            <w:shd w:val="clear" w:color="auto" w:fill="auto"/>
            <w:noWrap/>
            <w:vAlign w:val="bottom"/>
            <w:hideMark/>
          </w:tcPr>
          <w:p w:rsidR="00002E27" w:rsidRPr="00D67779" w:rsidRDefault="00002E27" w:rsidP="00002E27">
            <w:pPr>
              <w:jc w:val="center"/>
              <w:rPr>
                <w:rFonts w:ascii="Calibri" w:hAnsi="Calibri" w:cs="Arial"/>
                <w:color w:val="000000"/>
                <w:sz w:val="18"/>
                <w:szCs w:val="16"/>
              </w:rPr>
            </w:pPr>
            <w:r w:rsidRPr="00D67779">
              <w:rPr>
                <w:rFonts w:ascii="Calibri" w:hAnsi="Calibri" w:cs="Arial"/>
                <w:color w:val="000000"/>
                <w:sz w:val="18"/>
                <w:szCs w:val="16"/>
              </w:rPr>
              <w:t>Toscana</w:t>
            </w:r>
          </w:p>
        </w:tc>
        <w:tc>
          <w:tcPr>
            <w:tcW w:w="1063" w:type="pct"/>
            <w:tcBorders>
              <w:top w:val="nil"/>
              <w:left w:val="nil"/>
              <w:bottom w:val="nil"/>
              <w:right w:val="single" w:sz="4" w:space="0" w:color="auto"/>
            </w:tcBorders>
            <w:shd w:val="clear" w:color="000000" w:fill="1F497D"/>
            <w:noWrap/>
            <w:vAlign w:val="bottom"/>
            <w:hideMark/>
          </w:tcPr>
          <w:p w:rsidR="00002E27" w:rsidRPr="00D67779" w:rsidRDefault="00002E27" w:rsidP="00002E27">
            <w:pPr>
              <w:jc w:val="center"/>
              <w:rPr>
                <w:rFonts w:ascii="Calibri" w:hAnsi="Calibri" w:cs="Arial"/>
                <w:color w:val="FFFFFF"/>
                <w:sz w:val="18"/>
                <w:szCs w:val="16"/>
              </w:rPr>
            </w:pPr>
            <w:r w:rsidRPr="00D67779">
              <w:rPr>
                <w:rFonts w:ascii="Calibri" w:hAnsi="Calibri" w:cs="Arial"/>
                <w:color w:val="FFFFFF"/>
                <w:sz w:val="18"/>
                <w:szCs w:val="16"/>
              </w:rPr>
              <w:t> </w:t>
            </w:r>
          </w:p>
        </w:tc>
        <w:tc>
          <w:tcPr>
            <w:tcW w:w="802" w:type="pct"/>
            <w:tcBorders>
              <w:top w:val="nil"/>
              <w:left w:val="nil"/>
              <w:bottom w:val="nil"/>
              <w:right w:val="nil"/>
            </w:tcBorders>
            <w:shd w:val="clear" w:color="000000" w:fill="EEECE1"/>
            <w:noWrap/>
            <w:vAlign w:val="bottom"/>
            <w:hideMark/>
          </w:tcPr>
          <w:p w:rsidR="00002E27" w:rsidRPr="00D67779" w:rsidRDefault="00002E27" w:rsidP="00002E27">
            <w:pPr>
              <w:jc w:val="center"/>
              <w:rPr>
                <w:rFonts w:ascii="Calibri" w:hAnsi="Calibri" w:cs="Arial"/>
                <w:color w:val="000000"/>
                <w:sz w:val="18"/>
                <w:szCs w:val="16"/>
              </w:rPr>
            </w:pPr>
            <w:r w:rsidRPr="00D67779">
              <w:rPr>
                <w:rFonts w:ascii="Calibri" w:hAnsi="Calibri" w:cs="Arial"/>
                <w:color w:val="000000"/>
                <w:sz w:val="18"/>
                <w:szCs w:val="16"/>
              </w:rPr>
              <w:t> </w:t>
            </w:r>
          </w:p>
        </w:tc>
        <w:tc>
          <w:tcPr>
            <w:tcW w:w="803" w:type="pct"/>
            <w:tcBorders>
              <w:top w:val="nil"/>
              <w:left w:val="single" w:sz="4" w:space="0" w:color="auto"/>
              <w:bottom w:val="nil"/>
              <w:right w:val="single" w:sz="4" w:space="0" w:color="auto"/>
            </w:tcBorders>
            <w:shd w:val="clear" w:color="auto" w:fill="auto"/>
            <w:noWrap/>
            <w:vAlign w:val="bottom"/>
            <w:hideMark/>
          </w:tcPr>
          <w:p w:rsidR="00002E27" w:rsidRPr="00D67779" w:rsidRDefault="00002E27" w:rsidP="00002E27">
            <w:pPr>
              <w:jc w:val="center"/>
              <w:rPr>
                <w:rFonts w:ascii="Calibri" w:hAnsi="Calibri" w:cs="Arial"/>
                <w:color w:val="000000"/>
                <w:sz w:val="18"/>
                <w:szCs w:val="16"/>
              </w:rPr>
            </w:pPr>
            <w:r w:rsidRPr="00D67779">
              <w:rPr>
                <w:rFonts w:ascii="Calibri" w:hAnsi="Calibri" w:cs="Arial"/>
                <w:color w:val="000000"/>
                <w:sz w:val="18"/>
                <w:szCs w:val="16"/>
              </w:rPr>
              <w:t> </w:t>
            </w:r>
          </w:p>
        </w:tc>
        <w:tc>
          <w:tcPr>
            <w:tcW w:w="803" w:type="pct"/>
            <w:tcBorders>
              <w:top w:val="nil"/>
              <w:left w:val="nil"/>
              <w:bottom w:val="nil"/>
              <w:right w:val="single" w:sz="4" w:space="0" w:color="auto"/>
            </w:tcBorders>
            <w:shd w:val="clear" w:color="000000" w:fill="EEECE1"/>
            <w:noWrap/>
            <w:vAlign w:val="bottom"/>
            <w:hideMark/>
          </w:tcPr>
          <w:p w:rsidR="00002E27" w:rsidRPr="00D67779" w:rsidRDefault="00002E27" w:rsidP="00002E27">
            <w:pPr>
              <w:jc w:val="center"/>
              <w:rPr>
                <w:rFonts w:ascii="Calibri" w:hAnsi="Calibri" w:cs="Arial"/>
                <w:color w:val="000000"/>
                <w:sz w:val="18"/>
                <w:szCs w:val="16"/>
              </w:rPr>
            </w:pPr>
            <w:r w:rsidRPr="00D67779">
              <w:rPr>
                <w:rFonts w:ascii="Calibri" w:hAnsi="Calibri" w:cs="Arial"/>
                <w:color w:val="000000"/>
                <w:sz w:val="18"/>
                <w:szCs w:val="16"/>
              </w:rPr>
              <w:t> </w:t>
            </w:r>
          </w:p>
        </w:tc>
      </w:tr>
      <w:tr w:rsidR="00002E27" w:rsidRPr="00002E27" w:rsidTr="00D67779">
        <w:trPr>
          <w:trHeight w:val="276"/>
        </w:trPr>
        <w:tc>
          <w:tcPr>
            <w:tcW w:w="665" w:type="pct"/>
            <w:tcBorders>
              <w:top w:val="nil"/>
              <w:left w:val="single" w:sz="4" w:space="0" w:color="auto"/>
              <w:bottom w:val="single" w:sz="4" w:space="0" w:color="auto"/>
              <w:right w:val="single" w:sz="4" w:space="0" w:color="auto"/>
            </w:tcBorders>
            <w:shd w:val="clear" w:color="000000" w:fill="EEECE1"/>
            <w:noWrap/>
            <w:vAlign w:val="bottom"/>
            <w:hideMark/>
          </w:tcPr>
          <w:p w:rsidR="00002E27" w:rsidRPr="00D67779" w:rsidRDefault="00002E27" w:rsidP="00002E27">
            <w:pPr>
              <w:jc w:val="center"/>
              <w:rPr>
                <w:rFonts w:ascii="Calibri" w:hAnsi="Calibri" w:cs="Arial"/>
                <w:color w:val="000000"/>
                <w:sz w:val="18"/>
                <w:szCs w:val="16"/>
              </w:rPr>
            </w:pPr>
            <w:r w:rsidRPr="00D67779">
              <w:rPr>
                <w:rFonts w:ascii="Calibri" w:hAnsi="Calibri" w:cs="Arial"/>
                <w:color w:val="000000"/>
                <w:sz w:val="18"/>
                <w:szCs w:val="16"/>
              </w:rPr>
              <w:t> </w:t>
            </w:r>
          </w:p>
        </w:tc>
        <w:tc>
          <w:tcPr>
            <w:tcW w:w="864" w:type="pct"/>
            <w:tcBorders>
              <w:top w:val="nil"/>
              <w:left w:val="nil"/>
              <w:bottom w:val="single" w:sz="4" w:space="0" w:color="auto"/>
              <w:right w:val="single" w:sz="4" w:space="0" w:color="auto"/>
            </w:tcBorders>
            <w:shd w:val="clear" w:color="auto" w:fill="auto"/>
            <w:noWrap/>
            <w:vAlign w:val="bottom"/>
            <w:hideMark/>
          </w:tcPr>
          <w:p w:rsidR="00002E27" w:rsidRPr="00D67779" w:rsidRDefault="00002E27" w:rsidP="00002E27">
            <w:pPr>
              <w:jc w:val="center"/>
              <w:rPr>
                <w:rFonts w:ascii="Calibri" w:hAnsi="Calibri" w:cs="Arial"/>
                <w:color w:val="000000"/>
                <w:sz w:val="18"/>
                <w:szCs w:val="16"/>
              </w:rPr>
            </w:pPr>
            <w:r w:rsidRPr="00D67779">
              <w:rPr>
                <w:rFonts w:ascii="Calibri" w:hAnsi="Calibri" w:cs="Arial"/>
                <w:color w:val="000000"/>
                <w:sz w:val="18"/>
                <w:szCs w:val="16"/>
              </w:rPr>
              <w:t>Valle d'Aosta</w:t>
            </w:r>
          </w:p>
        </w:tc>
        <w:tc>
          <w:tcPr>
            <w:tcW w:w="1063" w:type="pct"/>
            <w:tcBorders>
              <w:top w:val="nil"/>
              <w:left w:val="nil"/>
              <w:bottom w:val="single" w:sz="4" w:space="0" w:color="auto"/>
              <w:right w:val="single" w:sz="4" w:space="0" w:color="auto"/>
            </w:tcBorders>
            <w:shd w:val="clear" w:color="000000" w:fill="1F497D"/>
            <w:noWrap/>
            <w:vAlign w:val="bottom"/>
            <w:hideMark/>
          </w:tcPr>
          <w:p w:rsidR="00002E27" w:rsidRPr="00D67779" w:rsidRDefault="00002E27" w:rsidP="00002E27">
            <w:pPr>
              <w:jc w:val="center"/>
              <w:rPr>
                <w:rFonts w:ascii="Calibri" w:hAnsi="Calibri" w:cs="Arial"/>
                <w:color w:val="FFFFFF"/>
                <w:sz w:val="18"/>
                <w:szCs w:val="16"/>
              </w:rPr>
            </w:pPr>
            <w:r w:rsidRPr="00D67779">
              <w:rPr>
                <w:rFonts w:ascii="Calibri" w:hAnsi="Calibri" w:cs="Arial"/>
                <w:color w:val="FFFFFF"/>
                <w:sz w:val="18"/>
                <w:szCs w:val="16"/>
              </w:rPr>
              <w:t> </w:t>
            </w:r>
          </w:p>
        </w:tc>
        <w:tc>
          <w:tcPr>
            <w:tcW w:w="802" w:type="pct"/>
            <w:tcBorders>
              <w:top w:val="nil"/>
              <w:left w:val="nil"/>
              <w:bottom w:val="single" w:sz="4" w:space="0" w:color="auto"/>
              <w:right w:val="single" w:sz="4" w:space="0" w:color="auto"/>
            </w:tcBorders>
            <w:shd w:val="clear" w:color="000000" w:fill="EEECE1"/>
            <w:noWrap/>
            <w:vAlign w:val="bottom"/>
            <w:hideMark/>
          </w:tcPr>
          <w:p w:rsidR="00002E27" w:rsidRPr="00D67779" w:rsidRDefault="00002E27" w:rsidP="00002E27">
            <w:pPr>
              <w:jc w:val="center"/>
              <w:rPr>
                <w:rFonts w:ascii="Calibri" w:hAnsi="Calibri" w:cs="Arial"/>
                <w:color w:val="000000"/>
                <w:sz w:val="18"/>
                <w:szCs w:val="16"/>
              </w:rPr>
            </w:pPr>
            <w:r w:rsidRPr="00D67779">
              <w:rPr>
                <w:rFonts w:ascii="Calibri" w:hAnsi="Calibri" w:cs="Arial"/>
                <w:color w:val="000000"/>
                <w:sz w:val="18"/>
                <w:szCs w:val="16"/>
              </w:rPr>
              <w:t> </w:t>
            </w:r>
          </w:p>
        </w:tc>
        <w:tc>
          <w:tcPr>
            <w:tcW w:w="803" w:type="pct"/>
            <w:tcBorders>
              <w:top w:val="nil"/>
              <w:left w:val="nil"/>
              <w:bottom w:val="single" w:sz="4" w:space="0" w:color="auto"/>
              <w:right w:val="single" w:sz="4" w:space="0" w:color="auto"/>
            </w:tcBorders>
            <w:shd w:val="clear" w:color="auto" w:fill="auto"/>
            <w:noWrap/>
            <w:vAlign w:val="bottom"/>
            <w:hideMark/>
          </w:tcPr>
          <w:p w:rsidR="00002E27" w:rsidRPr="00D67779" w:rsidRDefault="00002E27" w:rsidP="00002E27">
            <w:pPr>
              <w:jc w:val="center"/>
              <w:rPr>
                <w:rFonts w:ascii="Calibri" w:hAnsi="Calibri" w:cs="Arial"/>
                <w:color w:val="000000"/>
                <w:sz w:val="18"/>
                <w:szCs w:val="16"/>
              </w:rPr>
            </w:pPr>
            <w:r w:rsidRPr="00D67779">
              <w:rPr>
                <w:rFonts w:ascii="Calibri" w:hAnsi="Calibri" w:cs="Arial"/>
                <w:color w:val="000000"/>
                <w:sz w:val="18"/>
                <w:szCs w:val="16"/>
              </w:rPr>
              <w:t> </w:t>
            </w:r>
          </w:p>
        </w:tc>
        <w:tc>
          <w:tcPr>
            <w:tcW w:w="803" w:type="pct"/>
            <w:tcBorders>
              <w:top w:val="nil"/>
              <w:left w:val="nil"/>
              <w:bottom w:val="single" w:sz="4" w:space="0" w:color="auto"/>
              <w:right w:val="single" w:sz="4" w:space="0" w:color="auto"/>
            </w:tcBorders>
            <w:shd w:val="clear" w:color="000000" w:fill="EEECE1"/>
            <w:noWrap/>
            <w:vAlign w:val="bottom"/>
            <w:hideMark/>
          </w:tcPr>
          <w:p w:rsidR="00002E27" w:rsidRPr="00D67779" w:rsidRDefault="00002E27" w:rsidP="00002E27">
            <w:pPr>
              <w:jc w:val="center"/>
              <w:rPr>
                <w:rFonts w:ascii="Calibri" w:hAnsi="Calibri" w:cs="Arial"/>
                <w:color w:val="000000"/>
                <w:sz w:val="18"/>
                <w:szCs w:val="16"/>
              </w:rPr>
            </w:pPr>
            <w:r w:rsidRPr="00D67779">
              <w:rPr>
                <w:rFonts w:ascii="Calibri" w:hAnsi="Calibri" w:cs="Arial"/>
                <w:color w:val="000000"/>
                <w:sz w:val="18"/>
                <w:szCs w:val="16"/>
              </w:rPr>
              <w:t> </w:t>
            </w:r>
          </w:p>
        </w:tc>
      </w:tr>
    </w:tbl>
    <w:p w:rsidR="00CC41FA" w:rsidRPr="003D3270" w:rsidRDefault="00CC41FA" w:rsidP="00CC41FA">
      <w:pPr>
        <w:spacing w:before="60"/>
        <w:rPr>
          <w:rFonts w:asciiTheme="minorHAnsi" w:eastAsia="Calibri" w:hAnsiTheme="minorHAnsi" w:cstheme="minorHAnsi"/>
          <w:sz w:val="18"/>
        </w:rPr>
      </w:pPr>
      <w:r w:rsidRPr="003D3270">
        <w:rPr>
          <w:rFonts w:asciiTheme="minorHAnsi" w:eastAsia="Calibri" w:hAnsiTheme="minorHAnsi" w:cstheme="minorHAnsi"/>
          <w:sz w:val="18"/>
        </w:rPr>
        <w:t>Fonte: Nomisma e Fimaa-Confcommercio</w:t>
      </w:r>
    </w:p>
    <w:p w:rsidR="00CC41FA" w:rsidRDefault="00CC41FA" w:rsidP="00364602">
      <w:pPr>
        <w:rPr>
          <w:rFonts w:asciiTheme="minorHAnsi" w:eastAsia="Calibri" w:hAnsiTheme="minorHAnsi" w:cstheme="minorHAnsi"/>
          <w:color w:val="7F7F7F" w:themeColor="text1" w:themeTint="80"/>
          <w:sz w:val="22"/>
          <w:szCs w:val="22"/>
        </w:rPr>
      </w:pPr>
    </w:p>
    <w:p w:rsidR="0009207A" w:rsidRDefault="00CA2679" w:rsidP="00364602">
      <w:pPr>
        <w:rPr>
          <w:rFonts w:asciiTheme="minorHAnsi" w:eastAsia="Calibri" w:hAnsiTheme="minorHAnsi" w:cstheme="minorHAnsi"/>
          <w:spacing w:val="2"/>
          <w:sz w:val="22"/>
        </w:rPr>
      </w:pPr>
      <w:r w:rsidRPr="008F3A38">
        <w:rPr>
          <w:rFonts w:asciiTheme="minorHAnsi" w:eastAsia="Calibri" w:hAnsiTheme="minorHAnsi" w:cstheme="minorHAnsi"/>
          <w:spacing w:val="2"/>
          <w:sz w:val="22"/>
        </w:rPr>
        <w:t xml:space="preserve">Rispetto al dato medio regionale, vi sono contesti in cui la variazione intervenuta nei prezzi nasconde </w:t>
      </w:r>
      <w:r w:rsidR="00262584">
        <w:rPr>
          <w:rFonts w:asciiTheme="minorHAnsi" w:eastAsia="Calibri" w:hAnsiTheme="minorHAnsi" w:cstheme="minorHAnsi"/>
          <w:spacing w:val="2"/>
          <w:sz w:val="22"/>
        </w:rPr>
        <w:t xml:space="preserve">un’ampia </w:t>
      </w:r>
      <w:r w:rsidRPr="008F3A38">
        <w:rPr>
          <w:rFonts w:asciiTheme="minorHAnsi" w:eastAsia="Calibri" w:hAnsiTheme="minorHAnsi" w:cstheme="minorHAnsi"/>
          <w:spacing w:val="2"/>
          <w:sz w:val="22"/>
        </w:rPr>
        <w:t>var</w:t>
      </w:r>
      <w:r w:rsidR="000458CF">
        <w:rPr>
          <w:rFonts w:asciiTheme="minorHAnsi" w:eastAsia="Calibri" w:hAnsiTheme="minorHAnsi" w:cstheme="minorHAnsi"/>
          <w:spacing w:val="2"/>
          <w:sz w:val="22"/>
        </w:rPr>
        <w:t>iabilità a livello territoriale</w:t>
      </w:r>
      <w:r w:rsidR="00623961">
        <w:rPr>
          <w:rFonts w:asciiTheme="minorHAnsi" w:eastAsia="Calibri" w:hAnsiTheme="minorHAnsi" w:cstheme="minorHAnsi"/>
          <w:spacing w:val="2"/>
          <w:sz w:val="22"/>
        </w:rPr>
        <w:t xml:space="preserve"> (minima e massima)</w:t>
      </w:r>
      <w:r w:rsidR="008F3A38">
        <w:rPr>
          <w:rFonts w:asciiTheme="minorHAnsi" w:eastAsia="Calibri" w:hAnsiTheme="minorHAnsi" w:cstheme="minorHAnsi"/>
          <w:spacing w:val="2"/>
          <w:sz w:val="22"/>
        </w:rPr>
        <w:t xml:space="preserve">, come ad esempio in Abruzzo, </w:t>
      </w:r>
      <w:r w:rsidRPr="008F3A38">
        <w:rPr>
          <w:rFonts w:asciiTheme="minorHAnsi" w:eastAsia="Calibri" w:hAnsiTheme="minorHAnsi" w:cstheme="minorHAnsi"/>
          <w:spacing w:val="2"/>
          <w:sz w:val="22"/>
        </w:rPr>
        <w:t>Calabria</w:t>
      </w:r>
      <w:r w:rsidR="008F3A38">
        <w:rPr>
          <w:rFonts w:asciiTheme="minorHAnsi" w:eastAsia="Calibri" w:hAnsiTheme="minorHAnsi" w:cstheme="minorHAnsi"/>
          <w:spacing w:val="2"/>
          <w:sz w:val="22"/>
        </w:rPr>
        <w:t>, Campania e Sicilia</w:t>
      </w:r>
      <w:r w:rsidRPr="008F3A38">
        <w:rPr>
          <w:rFonts w:asciiTheme="minorHAnsi" w:eastAsia="Calibri" w:hAnsiTheme="minorHAnsi" w:cstheme="minorHAnsi"/>
          <w:spacing w:val="2"/>
          <w:sz w:val="22"/>
        </w:rPr>
        <w:t>, dove si segnalano fles</w:t>
      </w:r>
      <w:r w:rsidR="008F3A38" w:rsidRPr="008F3A38">
        <w:rPr>
          <w:rFonts w:asciiTheme="minorHAnsi" w:eastAsia="Calibri" w:hAnsiTheme="minorHAnsi" w:cstheme="minorHAnsi"/>
          <w:spacing w:val="2"/>
          <w:sz w:val="22"/>
        </w:rPr>
        <w:t xml:space="preserve">sioni massime nell’ordine </w:t>
      </w:r>
      <w:r w:rsidR="000458CF">
        <w:rPr>
          <w:rFonts w:asciiTheme="minorHAnsi" w:eastAsia="Calibri" w:hAnsiTheme="minorHAnsi" w:cstheme="minorHAnsi"/>
          <w:spacing w:val="2"/>
          <w:sz w:val="22"/>
        </w:rPr>
        <w:t>del</w:t>
      </w:r>
      <w:r w:rsidR="00A22364">
        <w:rPr>
          <w:rFonts w:asciiTheme="minorHAnsi" w:eastAsia="Calibri" w:hAnsiTheme="minorHAnsi" w:cstheme="minorHAnsi"/>
          <w:spacing w:val="2"/>
          <w:sz w:val="22"/>
        </w:rPr>
        <w:t>l’</w:t>
      </w:r>
      <w:r w:rsidR="008F3A38" w:rsidRPr="008F3A38">
        <w:rPr>
          <w:rFonts w:asciiTheme="minorHAnsi" w:eastAsia="Calibri" w:hAnsiTheme="minorHAnsi" w:cstheme="minorHAnsi"/>
          <w:spacing w:val="2"/>
          <w:sz w:val="22"/>
        </w:rPr>
        <w:t>8%</w:t>
      </w:r>
      <w:r w:rsidRPr="008F3A38">
        <w:rPr>
          <w:rFonts w:asciiTheme="minorHAnsi" w:eastAsia="Calibri" w:hAnsiTheme="minorHAnsi" w:cstheme="minorHAnsi"/>
          <w:spacing w:val="2"/>
          <w:sz w:val="22"/>
        </w:rPr>
        <w:t xml:space="preserve"> e minime prossime all’invarianza. </w:t>
      </w:r>
    </w:p>
    <w:p w:rsidR="008F3A38" w:rsidRPr="00161EC2" w:rsidRDefault="008F3A38" w:rsidP="00364602">
      <w:pPr>
        <w:rPr>
          <w:rFonts w:asciiTheme="minorHAnsi" w:eastAsia="Calibri" w:hAnsiTheme="minorHAnsi" w:cstheme="minorHAnsi"/>
          <w:color w:val="7F7F7F" w:themeColor="text1" w:themeTint="80"/>
          <w:sz w:val="22"/>
          <w:szCs w:val="22"/>
        </w:rPr>
      </w:pPr>
    </w:p>
    <w:p w:rsidR="00FC7BBB" w:rsidRDefault="00161EC2" w:rsidP="00161EC2">
      <w:pPr>
        <w:spacing w:after="120"/>
        <w:rPr>
          <w:rFonts w:asciiTheme="minorHAnsi" w:eastAsia="Calibri" w:hAnsiTheme="minorHAnsi" w:cstheme="minorHAnsi"/>
          <w:sz w:val="22"/>
          <w:szCs w:val="22"/>
        </w:rPr>
      </w:pPr>
      <w:r w:rsidRPr="00161EC2">
        <w:rPr>
          <w:rFonts w:asciiTheme="minorHAnsi" w:eastAsia="Calibri" w:hAnsiTheme="minorHAnsi" w:cstheme="minorHAnsi"/>
          <w:sz w:val="22"/>
          <w:szCs w:val="22"/>
        </w:rPr>
        <w:t xml:space="preserve">Il </w:t>
      </w:r>
      <w:r w:rsidRPr="00161EC2">
        <w:rPr>
          <w:rFonts w:asciiTheme="minorHAnsi" w:eastAsia="Calibri" w:hAnsiTheme="minorHAnsi" w:cstheme="minorHAnsi"/>
          <w:b/>
          <w:sz w:val="22"/>
          <w:szCs w:val="22"/>
        </w:rPr>
        <w:t>prezzo medio di un’abitazione turistica in Italia è 2.2</w:t>
      </w:r>
      <w:r w:rsidR="008F3A38">
        <w:rPr>
          <w:rFonts w:asciiTheme="minorHAnsi" w:eastAsia="Calibri" w:hAnsiTheme="minorHAnsi" w:cstheme="minorHAnsi"/>
          <w:b/>
          <w:sz w:val="22"/>
          <w:szCs w:val="22"/>
        </w:rPr>
        <w:t>29</w:t>
      </w:r>
      <w:r w:rsidRPr="00161EC2">
        <w:rPr>
          <w:rFonts w:asciiTheme="minorHAnsi" w:eastAsia="Calibri" w:hAnsiTheme="minorHAnsi" w:cstheme="minorHAnsi"/>
          <w:b/>
          <w:sz w:val="22"/>
          <w:szCs w:val="22"/>
        </w:rPr>
        <w:t xml:space="preserve"> euro al mq commerciale</w:t>
      </w:r>
      <w:r w:rsidR="00A22364">
        <w:rPr>
          <w:rFonts w:asciiTheme="minorHAnsi" w:eastAsia="Calibri" w:hAnsiTheme="minorHAnsi" w:cstheme="minorHAnsi"/>
          <w:sz w:val="22"/>
          <w:szCs w:val="22"/>
        </w:rPr>
        <w:t xml:space="preserve"> che rappresenta la </w:t>
      </w:r>
      <w:r w:rsidRPr="00161EC2">
        <w:rPr>
          <w:rFonts w:asciiTheme="minorHAnsi" w:eastAsia="Calibri" w:hAnsiTheme="minorHAnsi" w:cstheme="minorHAnsi"/>
          <w:sz w:val="22"/>
          <w:szCs w:val="22"/>
        </w:rPr>
        <w:t xml:space="preserve">sintesi dei </w:t>
      </w:r>
      <w:r>
        <w:rPr>
          <w:rFonts w:asciiTheme="minorHAnsi" w:eastAsia="Calibri" w:hAnsiTheme="minorHAnsi" w:cstheme="minorHAnsi"/>
          <w:sz w:val="22"/>
          <w:szCs w:val="22"/>
        </w:rPr>
        <w:t xml:space="preserve">seguenti </w:t>
      </w:r>
      <w:r w:rsidRPr="00161EC2">
        <w:rPr>
          <w:rFonts w:asciiTheme="minorHAnsi" w:eastAsia="Calibri" w:hAnsiTheme="minorHAnsi" w:cstheme="minorHAnsi"/>
          <w:sz w:val="22"/>
          <w:szCs w:val="22"/>
        </w:rPr>
        <w:t>valori differenziati per tipologia</w:t>
      </w:r>
      <w:r w:rsidR="00A22364">
        <w:rPr>
          <w:rFonts w:asciiTheme="minorHAnsi" w:eastAsia="Calibri" w:hAnsiTheme="minorHAnsi" w:cstheme="minorHAnsi"/>
          <w:sz w:val="22"/>
          <w:szCs w:val="22"/>
        </w:rPr>
        <w:t xml:space="preserve"> abitativa e</w:t>
      </w:r>
      <w:r w:rsidRPr="00161EC2">
        <w:rPr>
          <w:rFonts w:asciiTheme="minorHAnsi" w:eastAsia="Calibri" w:hAnsiTheme="minorHAnsi" w:cstheme="minorHAnsi"/>
          <w:sz w:val="22"/>
          <w:szCs w:val="22"/>
        </w:rPr>
        <w:t xml:space="preserve"> località turistica.</w:t>
      </w:r>
    </w:p>
    <w:p w:rsidR="00DA3DB3" w:rsidRPr="00161EC2" w:rsidRDefault="00DA3DB3" w:rsidP="00161EC2">
      <w:pPr>
        <w:spacing w:after="120"/>
        <w:rPr>
          <w:rFonts w:asciiTheme="minorHAnsi" w:eastAsia="Calibri" w:hAnsiTheme="minorHAnsi" w:cstheme="minorHAnsi"/>
          <w:sz w:val="22"/>
          <w:szCs w:val="22"/>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5"/>
        <w:gridCol w:w="2126"/>
        <w:gridCol w:w="2693"/>
        <w:gridCol w:w="2904"/>
      </w:tblGrid>
      <w:tr w:rsidR="006432F2" w:rsidRPr="003D3270" w:rsidTr="00C72373">
        <w:trPr>
          <w:trHeight w:val="340"/>
          <w:jc w:val="center"/>
        </w:trPr>
        <w:tc>
          <w:tcPr>
            <w:tcW w:w="2055" w:type="dxa"/>
            <w:vAlign w:val="center"/>
          </w:tcPr>
          <w:p w:rsidR="00FC7BBB" w:rsidRPr="00F02CF0" w:rsidRDefault="00B23B9D" w:rsidP="000D7640">
            <w:pPr>
              <w:jc w:val="left"/>
              <w:rPr>
                <w:rFonts w:asciiTheme="minorHAnsi" w:eastAsia="Calibri" w:hAnsiTheme="minorHAnsi" w:cstheme="minorHAnsi"/>
                <w:b w:val="0"/>
                <w:sz w:val="20"/>
              </w:rPr>
            </w:pPr>
            <w:r w:rsidRPr="00F02CF0">
              <w:rPr>
                <w:rFonts w:asciiTheme="minorHAnsi" w:eastAsia="Calibri" w:hAnsiTheme="minorHAnsi" w:cstheme="minorHAnsi"/>
                <w:b w:val="0"/>
                <w:caps w:val="0"/>
                <w:sz w:val="20"/>
              </w:rPr>
              <w:t xml:space="preserve">Tavola </w:t>
            </w:r>
            <w:r w:rsidR="000D7640" w:rsidRPr="00F02CF0">
              <w:rPr>
                <w:rFonts w:asciiTheme="minorHAnsi" w:eastAsia="Calibri" w:hAnsiTheme="minorHAnsi" w:cstheme="minorHAnsi"/>
                <w:b w:val="0"/>
                <w:caps w:val="0"/>
                <w:sz w:val="20"/>
              </w:rPr>
              <w:t>4</w:t>
            </w:r>
          </w:p>
        </w:tc>
        <w:tc>
          <w:tcPr>
            <w:tcW w:w="7723" w:type="dxa"/>
            <w:gridSpan w:val="3"/>
            <w:shd w:val="clear" w:color="auto" w:fill="D9D9D9" w:themeFill="background1" w:themeFillShade="D9"/>
            <w:vAlign w:val="center"/>
          </w:tcPr>
          <w:p w:rsidR="00FC7BBB" w:rsidRPr="00F02CF0" w:rsidRDefault="00FC7BBB" w:rsidP="00161EC2">
            <w:pPr>
              <w:jc w:val="center"/>
              <w:rPr>
                <w:rFonts w:asciiTheme="minorHAnsi" w:eastAsia="Calibri" w:hAnsiTheme="minorHAnsi" w:cstheme="minorHAnsi"/>
                <w:caps w:val="0"/>
                <w:sz w:val="20"/>
              </w:rPr>
            </w:pPr>
            <w:r w:rsidRPr="00F02CF0">
              <w:rPr>
                <w:rFonts w:asciiTheme="minorHAnsi" w:eastAsia="Calibri" w:hAnsiTheme="minorHAnsi" w:cstheme="minorHAnsi"/>
                <w:caps w:val="0"/>
                <w:sz w:val="20"/>
              </w:rPr>
              <w:t>Prezz</w:t>
            </w:r>
            <w:r w:rsidR="00161EC2">
              <w:rPr>
                <w:rFonts w:asciiTheme="minorHAnsi" w:eastAsia="Calibri" w:hAnsiTheme="minorHAnsi" w:cstheme="minorHAnsi"/>
                <w:caps w:val="0"/>
                <w:sz w:val="20"/>
              </w:rPr>
              <w:t>i</w:t>
            </w:r>
            <w:r w:rsidRPr="00F02CF0">
              <w:rPr>
                <w:rFonts w:asciiTheme="minorHAnsi" w:eastAsia="Calibri" w:hAnsiTheme="minorHAnsi" w:cstheme="minorHAnsi"/>
                <w:caps w:val="0"/>
                <w:sz w:val="20"/>
              </w:rPr>
              <w:t xml:space="preserve"> medi</w:t>
            </w:r>
            <w:r w:rsidR="00F02CF0" w:rsidRPr="00F02CF0">
              <w:rPr>
                <w:rFonts w:asciiTheme="minorHAnsi" w:eastAsia="Calibri" w:hAnsiTheme="minorHAnsi" w:cstheme="minorHAnsi"/>
                <w:caps w:val="0"/>
                <w:sz w:val="20"/>
              </w:rPr>
              <w:t xml:space="preserve"> 201</w:t>
            </w:r>
            <w:r w:rsidR="00C04B49">
              <w:rPr>
                <w:rFonts w:asciiTheme="minorHAnsi" w:eastAsia="Calibri" w:hAnsiTheme="minorHAnsi" w:cstheme="minorHAnsi"/>
                <w:caps w:val="0"/>
                <w:sz w:val="20"/>
              </w:rPr>
              <w:t>7 (€/mq)</w:t>
            </w:r>
          </w:p>
        </w:tc>
      </w:tr>
      <w:tr w:rsidR="006432F2" w:rsidRPr="003D3270" w:rsidTr="00C72373">
        <w:trPr>
          <w:trHeight w:val="340"/>
          <w:jc w:val="center"/>
        </w:trPr>
        <w:tc>
          <w:tcPr>
            <w:tcW w:w="2055" w:type="dxa"/>
            <w:vAlign w:val="center"/>
          </w:tcPr>
          <w:p w:rsidR="00FC7BBB" w:rsidRPr="00F02CF0" w:rsidRDefault="00FC7BBB" w:rsidP="00C72373">
            <w:pPr>
              <w:jc w:val="left"/>
              <w:rPr>
                <w:rFonts w:asciiTheme="minorHAnsi" w:eastAsia="Calibri" w:hAnsiTheme="minorHAnsi" w:cstheme="minorHAnsi"/>
                <w:sz w:val="20"/>
              </w:rPr>
            </w:pPr>
          </w:p>
        </w:tc>
        <w:tc>
          <w:tcPr>
            <w:tcW w:w="2126" w:type="dxa"/>
            <w:shd w:val="clear" w:color="auto" w:fill="F2F2F2" w:themeFill="background1" w:themeFillShade="F2"/>
            <w:vAlign w:val="center"/>
          </w:tcPr>
          <w:p w:rsidR="00FC7BBB" w:rsidRPr="00F02CF0" w:rsidRDefault="00F63B06" w:rsidP="00C72373">
            <w:pPr>
              <w:jc w:val="center"/>
              <w:rPr>
                <w:rFonts w:asciiTheme="minorHAnsi" w:eastAsia="Calibri" w:hAnsiTheme="minorHAnsi" w:cstheme="minorHAnsi"/>
                <w:sz w:val="20"/>
              </w:rPr>
            </w:pPr>
            <w:r w:rsidRPr="00F02CF0">
              <w:rPr>
                <w:rFonts w:asciiTheme="minorHAnsi" w:eastAsia="Calibri" w:hAnsiTheme="minorHAnsi" w:cstheme="minorHAnsi"/>
                <w:caps w:val="0"/>
                <w:sz w:val="20"/>
              </w:rPr>
              <w:t xml:space="preserve">Abitazioni </w:t>
            </w:r>
            <w:r w:rsidR="00FC7BBB" w:rsidRPr="00F02CF0">
              <w:rPr>
                <w:rFonts w:asciiTheme="minorHAnsi" w:eastAsia="Calibri" w:hAnsiTheme="minorHAnsi" w:cstheme="minorHAnsi"/>
                <w:caps w:val="0"/>
                <w:sz w:val="20"/>
              </w:rPr>
              <w:t>top nuove</w:t>
            </w:r>
          </w:p>
        </w:tc>
        <w:tc>
          <w:tcPr>
            <w:tcW w:w="2693" w:type="dxa"/>
            <w:shd w:val="clear" w:color="auto" w:fill="F2F2F2" w:themeFill="background1" w:themeFillShade="F2"/>
            <w:vAlign w:val="center"/>
          </w:tcPr>
          <w:p w:rsidR="00FC7BBB" w:rsidRPr="00F02CF0" w:rsidRDefault="00F63B06" w:rsidP="00C72373">
            <w:pPr>
              <w:jc w:val="center"/>
              <w:rPr>
                <w:rFonts w:asciiTheme="minorHAnsi" w:eastAsia="Calibri" w:hAnsiTheme="minorHAnsi" w:cstheme="minorHAnsi"/>
                <w:sz w:val="20"/>
              </w:rPr>
            </w:pPr>
            <w:r w:rsidRPr="00F02CF0">
              <w:rPr>
                <w:rFonts w:asciiTheme="minorHAnsi" w:eastAsia="Calibri" w:hAnsiTheme="minorHAnsi" w:cstheme="minorHAnsi"/>
                <w:caps w:val="0"/>
                <w:sz w:val="20"/>
              </w:rPr>
              <w:t>Abitazioni centrali usate</w:t>
            </w:r>
          </w:p>
        </w:tc>
        <w:tc>
          <w:tcPr>
            <w:tcW w:w="2904" w:type="dxa"/>
            <w:shd w:val="clear" w:color="auto" w:fill="F2F2F2" w:themeFill="background1" w:themeFillShade="F2"/>
            <w:vAlign w:val="center"/>
          </w:tcPr>
          <w:p w:rsidR="00FC7BBB" w:rsidRPr="00F02CF0" w:rsidRDefault="00F63B06" w:rsidP="00C72373">
            <w:pPr>
              <w:jc w:val="center"/>
              <w:rPr>
                <w:rFonts w:asciiTheme="minorHAnsi" w:eastAsia="Calibri" w:hAnsiTheme="minorHAnsi" w:cstheme="minorHAnsi"/>
                <w:sz w:val="20"/>
              </w:rPr>
            </w:pPr>
            <w:r w:rsidRPr="00F02CF0">
              <w:rPr>
                <w:rFonts w:asciiTheme="minorHAnsi" w:eastAsia="Calibri" w:hAnsiTheme="minorHAnsi" w:cstheme="minorHAnsi"/>
                <w:caps w:val="0"/>
                <w:sz w:val="20"/>
              </w:rPr>
              <w:t>Abitazioni periferiche usate</w:t>
            </w:r>
          </w:p>
        </w:tc>
      </w:tr>
      <w:tr w:rsidR="00C04B49" w:rsidRPr="003D3270" w:rsidTr="00C04B49">
        <w:trPr>
          <w:trHeight w:val="340"/>
          <w:jc w:val="center"/>
        </w:trPr>
        <w:tc>
          <w:tcPr>
            <w:tcW w:w="2055" w:type="dxa"/>
            <w:shd w:val="clear" w:color="auto" w:fill="DBE5F1" w:themeFill="accent1" w:themeFillTint="33"/>
            <w:vAlign w:val="center"/>
          </w:tcPr>
          <w:p w:rsidR="00C04B49" w:rsidRPr="00F02CF0" w:rsidRDefault="00C04B49" w:rsidP="00C04B49">
            <w:pPr>
              <w:jc w:val="left"/>
              <w:rPr>
                <w:rFonts w:asciiTheme="minorHAnsi" w:eastAsia="Calibri" w:hAnsiTheme="minorHAnsi" w:cstheme="minorHAnsi"/>
                <w:caps w:val="0"/>
                <w:sz w:val="20"/>
              </w:rPr>
            </w:pPr>
            <w:r w:rsidRPr="00F02CF0">
              <w:rPr>
                <w:rFonts w:asciiTheme="minorHAnsi" w:eastAsia="Calibri" w:hAnsiTheme="minorHAnsi" w:cstheme="minorHAnsi"/>
                <w:caps w:val="0"/>
                <w:sz w:val="20"/>
              </w:rPr>
              <w:t>Località lacuali</w:t>
            </w:r>
          </w:p>
        </w:tc>
        <w:tc>
          <w:tcPr>
            <w:tcW w:w="2126" w:type="dxa"/>
            <w:shd w:val="clear" w:color="auto" w:fill="DBE5F1" w:themeFill="accent1" w:themeFillTint="33"/>
            <w:vAlign w:val="center"/>
          </w:tcPr>
          <w:p w:rsidR="00C04B49" w:rsidRPr="00C04B49" w:rsidRDefault="00C04B49" w:rsidP="00C04B49">
            <w:pPr>
              <w:jc w:val="center"/>
              <w:rPr>
                <w:rFonts w:ascii="Calibri" w:hAnsi="Calibri" w:cs="Arial"/>
                <w:b w:val="0"/>
                <w:color w:val="000000"/>
                <w:sz w:val="20"/>
              </w:rPr>
            </w:pPr>
            <w:r w:rsidRPr="00C04B49">
              <w:rPr>
                <w:rFonts w:ascii="Calibri" w:hAnsi="Calibri" w:cs="Arial"/>
                <w:b w:val="0"/>
                <w:color w:val="000000"/>
                <w:sz w:val="20"/>
              </w:rPr>
              <w:t>3.342</w:t>
            </w:r>
          </w:p>
        </w:tc>
        <w:tc>
          <w:tcPr>
            <w:tcW w:w="2693" w:type="dxa"/>
            <w:shd w:val="clear" w:color="auto" w:fill="DBE5F1" w:themeFill="accent1" w:themeFillTint="33"/>
            <w:vAlign w:val="center"/>
          </w:tcPr>
          <w:p w:rsidR="00C04B49" w:rsidRPr="00C04B49" w:rsidRDefault="00C04B49" w:rsidP="00C04B49">
            <w:pPr>
              <w:jc w:val="center"/>
              <w:rPr>
                <w:rFonts w:ascii="Calibri" w:hAnsi="Calibri" w:cs="Arial"/>
                <w:b w:val="0"/>
                <w:color w:val="000000"/>
                <w:sz w:val="20"/>
              </w:rPr>
            </w:pPr>
            <w:r w:rsidRPr="00C04B49">
              <w:rPr>
                <w:rFonts w:ascii="Calibri" w:hAnsi="Calibri" w:cs="Arial"/>
                <w:b w:val="0"/>
                <w:color w:val="000000"/>
                <w:sz w:val="20"/>
              </w:rPr>
              <w:t>2.064</w:t>
            </w:r>
          </w:p>
        </w:tc>
        <w:tc>
          <w:tcPr>
            <w:tcW w:w="2904" w:type="dxa"/>
            <w:shd w:val="clear" w:color="auto" w:fill="DBE5F1" w:themeFill="accent1" w:themeFillTint="33"/>
            <w:vAlign w:val="center"/>
          </w:tcPr>
          <w:p w:rsidR="00C04B49" w:rsidRPr="00C04B49" w:rsidRDefault="00C04B49" w:rsidP="00C04B49">
            <w:pPr>
              <w:jc w:val="center"/>
              <w:rPr>
                <w:rFonts w:ascii="Calibri" w:hAnsi="Calibri" w:cs="Arial"/>
                <w:b w:val="0"/>
                <w:color w:val="000000"/>
                <w:sz w:val="20"/>
              </w:rPr>
            </w:pPr>
            <w:r w:rsidRPr="00C04B49">
              <w:rPr>
                <w:rFonts w:ascii="Calibri" w:hAnsi="Calibri" w:cs="Arial"/>
                <w:b w:val="0"/>
                <w:color w:val="000000"/>
                <w:sz w:val="20"/>
              </w:rPr>
              <w:t>1.367</w:t>
            </w:r>
          </w:p>
        </w:tc>
      </w:tr>
      <w:tr w:rsidR="00C04B49" w:rsidRPr="003D3270" w:rsidTr="00C04B49">
        <w:trPr>
          <w:trHeight w:val="340"/>
          <w:jc w:val="center"/>
        </w:trPr>
        <w:tc>
          <w:tcPr>
            <w:tcW w:w="2055" w:type="dxa"/>
            <w:shd w:val="clear" w:color="auto" w:fill="DBE5F1" w:themeFill="accent1" w:themeFillTint="33"/>
            <w:vAlign w:val="center"/>
          </w:tcPr>
          <w:p w:rsidR="00C04B49" w:rsidRPr="00F02CF0" w:rsidRDefault="00C04B49" w:rsidP="00C04B49">
            <w:pPr>
              <w:jc w:val="left"/>
              <w:rPr>
                <w:rFonts w:asciiTheme="minorHAnsi" w:eastAsia="Calibri" w:hAnsiTheme="minorHAnsi" w:cstheme="minorHAnsi"/>
                <w:sz w:val="20"/>
              </w:rPr>
            </w:pPr>
            <w:r w:rsidRPr="00F02CF0">
              <w:rPr>
                <w:rFonts w:asciiTheme="minorHAnsi" w:eastAsia="Calibri" w:hAnsiTheme="minorHAnsi" w:cstheme="minorHAnsi"/>
                <w:caps w:val="0"/>
                <w:sz w:val="20"/>
              </w:rPr>
              <w:t>Località marine</w:t>
            </w:r>
          </w:p>
        </w:tc>
        <w:tc>
          <w:tcPr>
            <w:tcW w:w="2126" w:type="dxa"/>
            <w:shd w:val="clear" w:color="auto" w:fill="DBE5F1" w:themeFill="accent1" w:themeFillTint="33"/>
            <w:vAlign w:val="center"/>
          </w:tcPr>
          <w:p w:rsidR="00C04B49" w:rsidRPr="00C04B49" w:rsidRDefault="00C04B49" w:rsidP="00C04B49">
            <w:pPr>
              <w:jc w:val="center"/>
              <w:rPr>
                <w:rFonts w:ascii="Calibri" w:hAnsi="Calibri" w:cs="Arial"/>
                <w:b w:val="0"/>
                <w:color w:val="000000"/>
                <w:sz w:val="20"/>
              </w:rPr>
            </w:pPr>
            <w:r w:rsidRPr="00C04B49">
              <w:rPr>
                <w:rFonts w:ascii="Calibri" w:hAnsi="Calibri" w:cs="Arial"/>
                <w:b w:val="0"/>
                <w:color w:val="000000"/>
                <w:sz w:val="20"/>
              </w:rPr>
              <w:t>2.953</w:t>
            </w:r>
          </w:p>
        </w:tc>
        <w:tc>
          <w:tcPr>
            <w:tcW w:w="2693" w:type="dxa"/>
            <w:shd w:val="clear" w:color="auto" w:fill="DBE5F1" w:themeFill="accent1" w:themeFillTint="33"/>
            <w:vAlign w:val="center"/>
          </w:tcPr>
          <w:p w:rsidR="00C04B49" w:rsidRPr="00C04B49" w:rsidRDefault="00C04B49" w:rsidP="00C04B49">
            <w:pPr>
              <w:jc w:val="center"/>
              <w:rPr>
                <w:rFonts w:ascii="Calibri" w:hAnsi="Calibri" w:cs="Arial"/>
                <w:b w:val="0"/>
                <w:color w:val="000000"/>
                <w:sz w:val="20"/>
              </w:rPr>
            </w:pPr>
            <w:r w:rsidRPr="00C04B49">
              <w:rPr>
                <w:rFonts w:ascii="Calibri" w:hAnsi="Calibri" w:cs="Arial"/>
                <w:b w:val="0"/>
                <w:color w:val="000000"/>
                <w:sz w:val="20"/>
              </w:rPr>
              <w:t>2.112</w:t>
            </w:r>
          </w:p>
        </w:tc>
        <w:tc>
          <w:tcPr>
            <w:tcW w:w="2904" w:type="dxa"/>
            <w:shd w:val="clear" w:color="auto" w:fill="DBE5F1" w:themeFill="accent1" w:themeFillTint="33"/>
            <w:vAlign w:val="center"/>
          </w:tcPr>
          <w:p w:rsidR="00C04B49" w:rsidRPr="00C04B49" w:rsidRDefault="00C04B49" w:rsidP="00C04B49">
            <w:pPr>
              <w:jc w:val="center"/>
              <w:rPr>
                <w:rFonts w:ascii="Calibri" w:hAnsi="Calibri" w:cs="Arial"/>
                <w:b w:val="0"/>
                <w:color w:val="000000"/>
                <w:sz w:val="20"/>
              </w:rPr>
            </w:pPr>
            <w:r w:rsidRPr="00C04B49">
              <w:rPr>
                <w:rFonts w:ascii="Calibri" w:hAnsi="Calibri" w:cs="Arial"/>
                <w:b w:val="0"/>
                <w:color w:val="000000"/>
                <w:sz w:val="20"/>
              </w:rPr>
              <w:t>1.537</w:t>
            </w:r>
          </w:p>
        </w:tc>
      </w:tr>
      <w:tr w:rsidR="00C04B49" w:rsidRPr="003D3270" w:rsidTr="00C04B49">
        <w:trPr>
          <w:trHeight w:val="340"/>
          <w:jc w:val="center"/>
        </w:trPr>
        <w:tc>
          <w:tcPr>
            <w:tcW w:w="2055" w:type="dxa"/>
            <w:shd w:val="clear" w:color="auto" w:fill="DBE5F1" w:themeFill="accent1" w:themeFillTint="33"/>
            <w:vAlign w:val="center"/>
          </w:tcPr>
          <w:p w:rsidR="00C04B49" w:rsidRPr="00F02CF0" w:rsidRDefault="00C04B49" w:rsidP="00C04B49">
            <w:pPr>
              <w:jc w:val="left"/>
              <w:rPr>
                <w:rFonts w:asciiTheme="minorHAnsi" w:eastAsia="Calibri" w:hAnsiTheme="minorHAnsi" w:cstheme="minorHAnsi"/>
                <w:sz w:val="20"/>
              </w:rPr>
            </w:pPr>
            <w:r w:rsidRPr="00F02CF0">
              <w:rPr>
                <w:rFonts w:asciiTheme="minorHAnsi" w:eastAsia="Calibri" w:hAnsiTheme="minorHAnsi" w:cstheme="minorHAnsi"/>
                <w:caps w:val="0"/>
                <w:sz w:val="20"/>
              </w:rPr>
              <w:t>Località montane</w:t>
            </w:r>
          </w:p>
        </w:tc>
        <w:tc>
          <w:tcPr>
            <w:tcW w:w="2126" w:type="dxa"/>
            <w:shd w:val="clear" w:color="auto" w:fill="DBE5F1" w:themeFill="accent1" w:themeFillTint="33"/>
            <w:vAlign w:val="center"/>
          </w:tcPr>
          <w:p w:rsidR="00C04B49" w:rsidRPr="00C04B49" w:rsidRDefault="00C04B49" w:rsidP="00C04B49">
            <w:pPr>
              <w:jc w:val="center"/>
              <w:rPr>
                <w:rFonts w:ascii="Calibri" w:hAnsi="Calibri" w:cs="Arial"/>
                <w:b w:val="0"/>
                <w:color w:val="000000"/>
                <w:sz w:val="20"/>
              </w:rPr>
            </w:pPr>
            <w:r w:rsidRPr="00C04B49">
              <w:rPr>
                <w:rFonts w:ascii="Calibri" w:hAnsi="Calibri" w:cs="Arial"/>
                <w:b w:val="0"/>
                <w:color w:val="000000"/>
                <w:sz w:val="20"/>
              </w:rPr>
              <w:t>3.152</w:t>
            </w:r>
          </w:p>
        </w:tc>
        <w:tc>
          <w:tcPr>
            <w:tcW w:w="2693" w:type="dxa"/>
            <w:shd w:val="clear" w:color="auto" w:fill="DBE5F1" w:themeFill="accent1" w:themeFillTint="33"/>
            <w:vAlign w:val="center"/>
          </w:tcPr>
          <w:p w:rsidR="00C04B49" w:rsidRPr="00C04B49" w:rsidRDefault="00C04B49" w:rsidP="00C04B49">
            <w:pPr>
              <w:jc w:val="center"/>
              <w:rPr>
                <w:rFonts w:ascii="Calibri" w:hAnsi="Calibri" w:cs="Arial"/>
                <w:b w:val="0"/>
                <w:color w:val="000000"/>
                <w:sz w:val="20"/>
              </w:rPr>
            </w:pPr>
            <w:r w:rsidRPr="00C04B49">
              <w:rPr>
                <w:rFonts w:ascii="Calibri" w:hAnsi="Calibri" w:cs="Arial"/>
                <w:b w:val="0"/>
                <w:color w:val="000000"/>
                <w:sz w:val="20"/>
              </w:rPr>
              <w:t>2.222</w:t>
            </w:r>
          </w:p>
        </w:tc>
        <w:tc>
          <w:tcPr>
            <w:tcW w:w="2904" w:type="dxa"/>
            <w:shd w:val="clear" w:color="auto" w:fill="DBE5F1" w:themeFill="accent1" w:themeFillTint="33"/>
            <w:vAlign w:val="center"/>
          </w:tcPr>
          <w:p w:rsidR="00C04B49" w:rsidRPr="00C04B49" w:rsidRDefault="00C04B49" w:rsidP="00C04B49">
            <w:pPr>
              <w:jc w:val="center"/>
              <w:rPr>
                <w:rFonts w:ascii="Calibri" w:hAnsi="Calibri" w:cs="Arial"/>
                <w:b w:val="0"/>
                <w:color w:val="000000"/>
                <w:sz w:val="20"/>
              </w:rPr>
            </w:pPr>
            <w:r w:rsidRPr="00C04B49">
              <w:rPr>
                <w:rFonts w:ascii="Calibri" w:hAnsi="Calibri" w:cs="Arial"/>
                <w:b w:val="0"/>
                <w:color w:val="000000"/>
                <w:sz w:val="20"/>
              </w:rPr>
              <w:t>1.526</w:t>
            </w:r>
          </w:p>
        </w:tc>
      </w:tr>
    </w:tbl>
    <w:p w:rsidR="008D7331" w:rsidRPr="003D3270" w:rsidRDefault="008D7331" w:rsidP="008D7331">
      <w:pPr>
        <w:spacing w:before="60"/>
        <w:rPr>
          <w:rFonts w:asciiTheme="minorHAnsi" w:eastAsia="Calibri" w:hAnsiTheme="minorHAnsi" w:cstheme="minorHAnsi"/>
          <w:sz w:val="18"/>
        </w:rPr>
      </w:pPr>
      <w:r w:rsidRPr="003D3270">
        <w:rPr>
          <w:rFonts w:asciiTheme="minorHAnsi" w:eastAsia="Calibri" w:hAnsiTheme="minorHAnsi" w:cstheme="minorHAnsi"/>
          <w:sz w:val="18"/>
        </w:rPr>
        <w:t>Fonte: Nomisma e Fimaa</w:t>
      </w:r>
      <w:r w:rsidR="00AC5889" w:rsidRPr="003D3270">
        <w:rPr>
          <w:rFonts w:asciiTheme="minorHAnsi" w:eastAsia="Calibri" w:hAnsiTheme="minorHAnsi" w:cstheme="minorHAnsi"/>
          <w:sz w:val="18"/>
        </w:rPr>
        <w:t>-Confcommercio</w:t>
      </w:r>
    </w:p>
    <w:p w:rsidR="00FC7BBB" w:rsidRPr="00161EC2" w:rsidRDefault="00FC7BBB" w:rsidP="00364602">
      <w:pPr>
        <w:rPr>
          <w:rFonts w:asciiTheme="minorHAnsi" w:eastAsia="Calibri" w:hAnsiTheme="minorHAnsi" w:cstheme="minorHAnsi"/>
          <w:sz w:val="22"/>
          <w:szCs w:val="24"/>
        </w:rPr>
      </w:pPr>
    </w:p>
    <w:p w:rsidR="00730030" w:rsidRPr="00C77547" w:rsidRDefault="00DB5FBA" w:rsidP="00364602">
      <w:pPr>
        <w:rPr>
          <w:rFonts w:asciiTheme="minorHAnsi" w:eastAsia="Calibri" w:hAnsiTheme="minorHAnsi" w:cstheme="minorHAnsi"/>
          <w:sz w:val="22"/>
          <w:szCs w:val="22"/>
        </w:rPr>
      </w:pPr>
      <w:r w:rsidRPr="00C77547">
        <w:rPr>
          <w:rFonts w:asciiTheme="minorHAnsi" w:eastAsia="Calibri" w:hAnsiTheme="minorHAnsi" w:cstheme="minorHAnsi"/>
          <w:sz w:val="22"/>
          <w:szCs w:val="22"/>
        </w:rPr>
        <w:t xml:space="preserve">Le località </w:t>
      </w:r>
      <w:r w:rsidR="002D78BD" w:rsidRPr="00C77547">
        <w:rPr>
          <w:rFonts w:asciiTheme="minorHAnsi" w:eastAsia="Calibri" w:hAnsiTheme="minorHAnsi" w:cstheme="minorHAnsi"/>
          <w:sz w:val="22"/>
          <w:szCs w:val="22"/>
        </w:rPr>
        <w:t xml:space="preserve">che </w:t>
      </w:r>
      <w:r w:rsidR="00F63B06" w:rsidRPr="00C77547">
        <w:rPr>
          <w:rFonts w:asciiTheme="minorHAnsi" w:eastAsia="Calibri" w:hAnsiTheme="minorHAnsi" w:cstheme="minorHAnsi"/>
          <w:sz w:val="22"/>
          <w:szCs w:val="22"/>
        </w:rPr>
        <w:t>rappresentano</w:t>
      </w:r>
      <w:r w:rsidRPr="00C77547">
        <w:rPr>
          <w:rFonts w:asciiTheme="minorHAnsi" w:eastAsia="Calibri" w:hAnsiTheme="minorHAnsi" w:cstheme="minorHAnsi"/>
          <w:sz w:val="22"/>
          <w:szCs w:val="22"/>
        </w:rPr>
        <w:t xml:space="preserve"> gli estremi </w:t>
      </w:r>
      <w:r w:rsidR="00F63B06" w:rsidRPr="00C77547">
        <w:rPr>
          <w:rFonts w:asciiTheme="minorHAnsi" w:eastAsia="Calibri" w:hAnsiTheme="minorHAnsi" w:cstheme="minorHAnsi"/>
          <w:sz w:val="22"/>
          <w:szCs w:val="22"/>
        </w:rPr>
        <w:t xml:space="preserve">dell’ampio </w:t>
      </w:r>
      <w:proofErr w:type="spellStart"/>
      <w:r w:rsidR="00F63B06" w:rsidRPr="00C77547">
        <w:rPr>
          <w:rFonts w:asciiTheme="minorHAnsi" w:eastAsia="Calibri" w:hAnsiTheme="minorHAnsi" w:cstheme="minorHAnsi"/>
          <w:sz w:val="22"/>
          <w:szCs w:val="22"/>
        </w:rPr>
        <w:t>range</w:t>
      </w:r>
      <w:proofErr w:type="spellEnd"/>
      <w:r w:rsidR="00F63B06" w:rsidRPr="00C77547">
        <w:rPr>
          <w:rFonts w:asciiTheme="minorHAnsi" w:eastAsia="Calibri" w:hAnsiTheme="minorHAnsi" w:cstheme="minorHAnsi"/>
          <w:sz w:val="22"/>
          <w:szCs w:val="22"/>
        </w:rPr>
        <w:t xml:space="preserve"> </w:t>
      </w:r>
      <w:r w:rsidRPr="00C77547">
        <w:rPr>
          <w:rFonts w:asciiTheme="minorHAnsi" w:eastAsia="Calibri" w:hAnsiTheme="minorHAnsi" w:cstheme="minorHAnsi"/>
          <w:sz w:val="22"/>
          <w:szCs w:val="22"/>
        </w:rPr>
        <w:t>dei prezzi delle abitazioni nelle località turistiche sono Santa Margherita Ligure</w:t>
      </w:r>
      <w:r w:rsidR="00F63B06" w:rsidRPr="00C77547">
        <w:rPr>
          <w:rFonts w:asciiTheme="minorHAnsi" w:eastAsia="Calibri" w:hAnsiTheme="minorHAnsi" w:cstheme="minorHAnsi"/>
          <w:sz w:val="22"/>
          <w:szCs w:val="22"/>
        </w:rPr>
        <w:t xml:space="preserve"> </w:t>
      </w:r>
      <w:r w:rsidR="001C12EE" w:rsidRPr="00C77547">
        <w:rPr>
          <w:rFonts w:asciiTheme="minorHAnsi" w:eastAsia="Calibri" w:hAnsiTheme="minorHAnsi" w:cstheme="minorHAnsi"/>
          <w:sz w:val="22"/>
          <w:szCs w:val="22"/>
        </w:rPr>
        <w:t xml:space="preserve">(GE) </w:t>
      </w:r>
      <w:r w:rsidRPr="00C77547">
        <w:rPr>
          <w:rFonts w:asciiTheme="minorHAnsi" w:eastAsia="Calibri" w:hAnsiTheme="minorHAnsi" w:cstheme="minorHAnsi"/>
          <w:sz w:val="22"/>
          <w:szCs w:val="22"/>
        </w:rPr>
        <w:t xml:space="preserve">per </w:t>
      </w:r>
      <w:r w:rsidR="0068237F">
        <w:rPr>
          <w:rFonts w:asciiTheme="minorHAnsi" w:eastAsia="Calibri" w:hAnsiTheme="minorHAnsi" w:cstheme="minorHAnsi"/>
          <w:sz w:val="22"/>
          <w:szCs w:val="22"/>
        </w:rPr>
        <w:t xml:space="preserve">la parte </w:t>
      </w:r>
      <w:r w:rsidRPr="00C77547">
        <w:rPr>
          <w:rFonts w:asciiTheme="minorHAnsi" w:eastAsia="Calibri" w:hAnsiTheme="minorHAnsi" w:cstheme="minorHAnsi"/>
          <w:sz w:val="22"/>
          <w:szCs w:val="22"/>
        </w:rPr>
        <w:t>superiore</w:t>
      </w:r>
      <w:r w:rsidR="0068237F">
        <w:rPr>
          <w:rFonts w:asciiTheme="minorHAnsi" w:eastAsia="Calibri" w:hAnsiTheme="minorHAnsi" w:cstheme="minorHAnsi"/>
          <w:sz w:val="22"/>
          <w:szCs w:val="22"/>
        </w:rPr>
        <w:t xml:space="preserve"> della distribuzione</w:t>
      </w:r>
      <w:r w:rsidR="0068237F">
        <w:rPr>
          <w:rStyle w:val="Rimandonotaapidipagina"/>
          <w:rFonts w:asciiTheme="minorHAnsi" w:eastAsia="Calibri" w:hAnsiTheme="minorHAnsi" w:cstheme="minorHAnsi"/>
          <w:sz w:val="22"/>
          <w:szCs w:val="22"/>
        </w:rPr>
        <w:footnoteReference w:id="1"/>
      </w:r>
      <w:r w:rsidR="00F63B06" w:rsidRPr="00C77547">
        <w:rPr>
          <w:rFonts w:asciiTheme="minorHAnsi" w:eastAsia="Calibri" w:hAnsiTheme="minorHAnsi" w:cstheme="minorHAnsi"/>
          <w:sz w:val="22"/>
          <w:szCs w:val="22"/>
        </w:rPr>
        <w:t>,</w:t>
      </w:r>
      <w:r w:rsidRPr="00C77547">
        <w:rPr>
          <w:rFonts w:asciiTheme="minorHAnsi" w:eastAsia="Calibri" w:hAnsiTheme="minorHAnsi" w:cstheme="minorHAnsi"/>
          <w:sz w:val="22"/>
          <w:szCs w:val="22"/>
        </w:rPr>
        <w:t xml:space="preserve"> con </w:t>
      </w:r>
      <w:r w:rsidR="00F63B06" w:rsidRPr="00C77547">
        <w:rPr>
          <w:rFonts w:asciiTheme="minorHAnsi" w:eastAsia="Calibri" w:hAnsiTheme="minorHAnsi" w:cstheme="minorHAnsi"/>
          <w:sz w:val="22"/>
          <w:szCs w:val="22"/>
        </w:rPr>
        <w:t xml:space="preserve">quotazioni </w:t>
      </w:r>
      <w:r w:rsidR="00EC469A" w:rsidRPr="00C77547">
        <w:rPr>
          <w:rFonts w:asciiTheme="minorHAnsi" w:eastAsia="Calibri" w:hAnsiTheme="minorHAnsi" w:cstheme="minorHAnsi"/>
          <w:sz w:val="22"/>
          <w:szCs w:val="22"/>
        </w:rPr>
        <w:t xml:space="preserve">sul mercato top </w:t>
      </w:r>
      <w:r w:rsidR="00C72373" w:rsidRPr="00C77547">
        <w:rPr>
          <w:rFonts w:asciiTheme="minorHAnsi" w:eastAsia="Calibri" w:hAnsiTheme="minorHAnsi" w:cstheme="minorHAnsi"/>
          <w:sz w:val="22"/>
          <w:szCs w:val="22"/>
        </w:rPr>
        <w:t xml:space="preserve">che arrivano fino a </w:t>
      </w:r>
      <w:r w:rsidR="00F63B06" w:rsidRPr="00C77547">
        <w:rPr>
          <w:rFonts w:asciiTheme="minorHAnsi" w:eastAsia="Calibri" w:hAnsiTheme="minorHAnsi" w:cstheme="minorHAnsi"/>
          <w:sz w:val="22"/>
          <w:szCs w:val="22"/>
        </w:rPr>
        <w:t>1</w:t>
      </w:r>
      <w:r w:rsidR="00C77547">
        <w:rPr>
          <w:rFonts w:asciiTheme="minorHAnsi" w:eastAsia="Calibri" w:hAnsiTheme="minorHAnsi" w:cstheme="minorHAnsi"/>
          <w:sz w:val="22"/>
          <w:szCs w:val="22"/>
        </w:rPr>
        <w:t>3</w:t>
      </w:r>
      <w:r w:rsidR="00F63B06" w:rsidRPr="00C77547">
        <w:rPr>
          <w:rFonts w:asciiTheme="minorHAnsi" w:eastAsia="Calibri" w:hAnsiTheme="minorHAnsi" w:cstheme="minorHAnsi"/>
          <w:sz w:val="22"/>
          <w:szCs w:val="22"/>
        </w:rPr>
        <w:t>.</w:t>
      </w:r>
      <w:r w:rsidR="00C77547">
        <w:rPr>
          <w:rFonts w:asciiTheme="minorHAnsi" w:eastAsia="Calibri" w:hAnsiTheme="minorHAnsi" w:cstheme="minorHAnsi"/>
          <w:sz w:val="22"/>
          <w:szCs w:val="22"/>
        </w:rPr>
        <w:t>6</w:t>
      </w:r>
      <w:r w:rsidR="00F63B06" w:rsidRPr="00C77547">
        <w:rPr>
          <w:rFonts w:asciiTheme="minorHAnsi" w:eastAsia="Calibri" w:hAnsiTheme="minorHAnsi" w:cstheme="minorHAnsi"/>
          <w:sz w:val="22"/>
          <w:szCs w:val="22"/>
        </w:rPr>
        <w:t>00 €/mq</w:t>
      </w:r>
      <w:r w:rsidR="00C72373" w:rsidRPr="00C77547">
        <w:rPr>
          <w:rFonts w:asciiTheme="minorHAnsi" w:eastAsia="Calibri" w:hAnsiTheme="minorHAnsi" w:cstheme="minorHAnsi"/>
          <w:sz w:val="22"/>
          <w:szCs w:val="22"/>
        </w:rPr>
        <w:t>,</w:t>
      </w:r>
      <w:r w:rsidR="00F63B06" w:rsidRPr="00C77547">
        <w:rPr>
          <w:rFonts w:asciiTheme="minorHAnsi" w:eastAsia="Calibri" w:hAnsiTheme="minorHAnsi" w:cstheme="minorHAnsi"/>
          <w:sz w:val="22"/>
          <w:szCs w:val="22"/>
        </w:rPr>
        <w:t xml:space="preserve"> e </w:t>
      </w:r>
      <w:r w:rsidR="0009799C" w:rsidRPr="00C77547">
        <w:rPr>
          <w:rFonts w:asciiTheme="minorHAnsi" w:eastAsia="Calibri" w:hAnsiTheme="minorHAnsi" w:cstheme="minorHAnsi"/>
          <w:sz w:val="22"/>
          <w:szCs w:val="22"/>
        </w:rPr>
        <w:t>Serra San Bruno (VV) e Porto Rosa (ME)</w:t>
      </w:r>
      <w:r w:rsidR="00EC469A" w:rsidRPr="00C77547">
        <w:rPr>
          <w:rFonts w:asciiTheme="minorHAnsi" w:eastAsia="Calibri" w:hAnsiTheme="minorHAnsi" w:cstheme="minorHAnsi"/>
          <w:sz w:val="22"/>
          <w:szCs w:val="22"/>
        </w:rPr>
        <w:t xml:space="preserve"> </w:t>
      </w:r>
      <w:r w:rsidR="00F63B06" w:rsidRPr="00C77547">
        <w:rPr>
          <w:rFonts w:asciiTheme="minorHAnsi" w:eastAsia="Calibri" w:hAnsiTheme="minorHAnsi" w:cstheme="minorHAnsi"/>
          <w:sz w:val="22"/>
          <w:szCs w:val="22"/>
        </w:rPr>
        <w:t>per quell</w:t>
      </w:r>
      <w:r w:rsidR="0068237F">
        <w:rPr>
          <w:rFonts w:asciiTheme="minorHAnsi" w:eastAsia="Calibri" w:hAnsiTheme="minorHAnsi" w:cstheme="minorHAnsi"/>
          <w:sz w:val="22"/>
          <w:szCs w:val="22"/>
        </w:rPr>
        <w:t>a</w:t>
      </w:r>
      <w:r w:rsidR="00F63B06" w:rsidRPr="00C77547">
        <w:rPr>
          <w:rFonts w:asciiTheme="minorHAnsi" w:eastAsia="Calibri" w:hAnsiTheme="minorHAnsi" w:cstheme="minorHAnsi"/>
          <w:sz w:val="22"/>
          <w:szCs w:val="22"/>
        </w:rPr>
        <w:t xml:space="preserve"> </w:t>
      </w:r>
      <w:r w:rsidRPr="00C77547">
        <w:rPr>
          <w:rFonts w:asciiTheme="minorHAnsi" w:eastAsia="Calibri" w:hAnsiTheme="minorHAnsi" w:cstheme="minorHAnsi"/>
          <w:sz w:val="22"/>
          <w:szCs w:val="22"/>
        </w:rPr>
        <w:t xml:space="preserve">inferiore, con </w:t>
      </w:r>
      <w:r w:rsidR="001C12EE" w:rsidRPr="00C77547">
        <w:rPr>
          <w:rFonts w:asciiTheme="minorHAnsi" w:eastAsia="Calibri" w:hAnsiTheme="minorHAnsi" w:cstheme="minorHAnsi"/>
          <w:sz w:val="22"/>
          <w:szCs w:val="22"/>
        </w:rPr>
        <w:t>valori</w:t>
      </w:r>
      <w:r w:rsidR="007443E9" w:rsidRPr="00C77547">
        <w:rPr>
          <w:rFonts w:asciiTheme="minorHAnsi" w:eastAsia="Calibri" w:hAnsiTheme="minorHAnsi" w:cstheme="minorHAnsi"/>
          <w:sz w:val="22"/>
          <w:szCs w:val="22"/>
        </w:rPr>
        <w:t xml:space="preserve"> minimi delle abitazioni periferiche usate nell’ordine dei </w:t>
      </w:r>
      <w:r w:rsidR="0009799C" w:rsidRPr="00C77547">
        <w:rPr>
          <w:rFonts w:asciiTheme="minorHAnsi" w:eastAsia="Calibri" w:hAnsiTheme="minorHAnsi" w:cstheme="minorHAnsi"/>
          <w:sz w:val="22"/>
          <w:szCs w:val="22"/>
        </w:rPr>
        <w:t>400</w:t>
      </w:r>
      <w:r w:rsidR="00F63B06" w:rsidRPr="00C77547">
        <w:rPr>
          <w:rFonts w:asciiTheme="minorHAnsi" w:eastAsia="Calibri" w:hAnsiTheme="minorHAnsi" w:cstheme="minorHAnsi"/>
          <w:sz w:val="22"/>
          <w:szCs w:val="22"/>
        </w:rPr>
        <w:t xml:space="preserve"> €/mq</w:t>
      </w:r>
      <w:r w:rsidRPr="00C77547">
        <w:rPr>
          <w:rFonts w:asciiTheme="minorHAnsi" w:eastAsia="Calibri" w:hAnsiTheme="minorHAnsi" w:cstheme="minorHAnsi"/>
          <w:sz w:val="22"/>
          <w:szCs w:val="22"/>
        </w:rPr>
        <w:t>.</w:t>
      </w:r>
    </w:p>
    <w:p w:rsidR="00DB5FBA" w:rsidRPr="00733D27" w:rsidRDefault="00DB5FBA" w:rsidP="00364602">
      <w:pPr>
        <w:rPr>
          <w:rFonts w:asciiTheme="minorHAnsi" w:eastAsia="Calibri" w:hAnsiTheme="minorHAnsi" w:cstheme="minorHAnsi"/>
          <w:sz w:val="22"/>
          <w:szCs w:val="22"/>
          <w:highlight w:val="yellow"/>
        </w:rPr>
      </w:pPr>
    </w:p>
    <w:p w:rsidR="00DF5BB0" w:rsidRPr="00893C10" w:rsidRDefault="00DF5BB0" w:rsidP="00364602">
      <w:pPr>
        <w:rPr>
          <w:rFonts w:asciiTheme="minorHAnsi" w:eastAsia="Calibri" w:hAnsiTheme="minorHAnsi" w:cstheme="minorHAnsi"/>
          <w:sz w:val="22"/>
          <w:szCs w:val="22"/>
        </w:rPr>
      </w:pPr>
      <w:r w:rsidRPr="00743303">
        <w:rPr>
          <w:rFonts w:asciiTheme="minorHAnsi" w:eastAsia="Calibri" w:hAnsiTheme="minorHAnsi" w:cstheme="minorHAnsi"/>
          <w:sz w:val="22"/>
          <w:szCs w:val="22"/>
        </w:rPr>
        <w:t>Dal comparto locativo emergono segnali di</w:t>
      </w:r>
      <w:r w:rsidR="00623961">
        <w:rPr>
          <w:rFonts w:asciiTheme="minorHAnsi" w:eastAsia="Calibri" w:hAnsiTheme="minorHAnsi" w:cstheme="minorHAnsi"/>
          <w:sz w:val="22"/>
          <w:szCs w:val="22"/>
        </w:rPr>
        <w:t xml:space="preserve"> maggiore</w:t>
      </w:r>
      <w:r w:rsidRPr="00743303">
        <w:rPr>
          <w:rFonts w:asciiTheme="minorHAnsi" w:eastAsia="Calibri" w:hAnsiTheme="minorHAnsi" w:cstheme="minorHAnsi"/>
          <w:sz w:val="22"/>
          <w:szCs w:val="22"/>
        </w:rPr>
        <w:t xml:space="preserve"> stabilità in termini di valori. Il dato medio, sintesi dei </w:t>
      </w:r>
      <w:r w:rsidRPr="00893C10">
        <w:rPr>
          <w:rFonts w:asciiTheme="minorHAnsi" w:eastAsia="Calibri" w:hAnsiTheme="minorHAnsi" w:cstheme="minorHAnsi"/>
          <w:sz w:val="22"/>
          <w:szCs w:val="22"/>
        </w:rPr>
        <w:t xml:space="preserve">canoni richiesti in giugno, luglio e agosto nelle singole località turistiche monitorate, </w:t>
      </w:r>
      <w:r w:rsidR="0068237F">
        <w:rPr>
          <w:rFonts w:asciiTheme="minorHAnsi" w:eastAsia="Calibri" w:hAnsiTheme="minorHAnsi" w:cstheme="minorHAnsi"/>
          <w:sz w:val="22"/>
          <w:szCs w:val="22"/>
        </w:rPr>
        <w:t>evidenzia</w:t>
      </w:r>
      <w:r w:rsidRPr="00893C10">
        <w:rPr>
          <w:rFonts w:asciiTheme="minorHAnsi" w:eastAsia="Calibri" w:hAnsiTheme="minorHAnsi" w:cstheme="minorHAnsi"/>
          <w:sz w:val="22"/>
          <w:szCs w:val="22"/>
        </w:rPr>
        <w:t xml:space="preserve"> un +0,</w:t>
      </w:r>
      <w:r w:rsidR="00743303" w:rsidRPr="00893C10">
        <w:rPr>
          <w:rFonts w:asciiTheme="minorHAnsi" w:eastAsia="Calibri" w:hAnsiTheme="minorHAnsi" w:cstheme="minorHAnsi"/>
          <w:sz w:val="22"/>
          <w:szCs w:val="22"/>
        </w:rPr>
        <w:t>4</w:t>
      </w:r>
      <w:r w:rsidRPr="00893C10">
        <w:rPr>
          <w:rFonts w:asciiTheme="minorHAnsi" w:eastAsia="Calibri" w:hAnsiTheme="minorHAnsi" w:cstheme="minorHAnsi"/>
          <w:sz w:val="22"/>
          <w:szCs w:val="22"/>
        </w:rPr>
        <w:t>%</w:t>
      </w:r>
      <w:r w:rsidR="0068237F">
        <w:rPr>
          <w:rFonts w:asciiTheme="minorHAnsi" w:eastAsia="Calibri" w:hAnsiTheme="minorHAnsi" w:cstheme="minorHAnsi"/>
          <w:sz w:val="22"/>
          <w:szCs w:val="22"/>
        </w:rPr>
        <w:t xml:space="preserve"> su base</w:t>
      </w:r>
      <w:r w:rsidRPr="00893C10">
        <w:rPr>
          <w:rFonts w:asciiTheme="minorHAnsi" w:eastAsia="Calibri" w:hAnsiTheme="minorHAnsi" w:cstheme="minorHAnsi"/>
          <w:sz w:val="22"/>
          <w:szCs w:val="22"/>
        </w:rPr>
        <w:t xml:space="preserve"> annu</w:t>
      </w:r>
      <w:r w:rsidR="0068237F">
        <w:rPr>
          <w:rFonts w:asciiTheme="minorHAnsi" w:eastAsia="Calibri" w:hAnsiTheme="minorHAnsi" w:cstheme="minorHAnsi"/>
          <w:sz w:val="22"/>
          <w:szCs w:val="22"/>
        </w:rPr>
        <w:t>a</w:t>
      </w:r>
      <w:r w:rsidRPr="00893C10">
        <w:rPr>
          <w:rFonts w:asciiTheme="minorHAnsi" w:eastAsia="Calibri" w:hAnsiTheme="minorHAnsi" w:cstheme="minorHAnsi"/>
          <w:sz w:val="22"/>
          <w:szCs w:val="22"/>
        </w:rPr>
        <w:t>.</w:t>
      </w:r>
    </w:p>
    <w:p w:rsidR="00364602" w:rsidRPr="00893C10" w:rsidRDefault="00DF5BB0" w:rsidP="00364602">
      <w:pPr>
        <w:rPr>
          <w:rFonts w:asciiTheme="minorHAnsi" w:eastAsia="Calibri" w:hAnsiTheme="minorHAnsi" w:cstheme="minorHAnsi"/>
          <w:color w:val="7F7F7F" w:themeColor="text1" w:themeTint="80"/>
          <w:sz w:val="22"/>
          <w:szCs w:val="22"/>
        </w:rPr>
      </w:pPr>
      <w:r w:rsidRPr="00893C10">
        <w:rPr>
          <w:rFonts w:asciiTheme="minorHAnsi" w:eastAsia="Calibri" w:hAnsiTheme="minorHAnsi" w:cstheme="minorHAnsi"/>
          <w:sz w:val="22"/>
          <w:szCs w:val="22"/>
        </w:rPr>
        <w:t>Il mercato della locazione delle località turistiche è caratterizzato da un canone medio settimanale ordinario (valore di massima frequenza</w:t>
      </w:r>
      <w:r w:rsidR="0068237F">
        <w:rPr>
          <w:rFonts w:asciiTheme="minorHAnsi" w:eastAsia="Calibri" w:hAnsiTheme="minorHAnsi" w:cstheme="minorHAnsi"/>
          <w:sz w:val="22"/>
          <w:szCs w:val="22"/>
        </w:rPr>
        <w:t xml:space="preserve"> </w:t>
      </w:r>
      <w:r w:rsidR="0068237F" w:rsidRPr="00893C10">
        <w:rPr>
          <w:rFonts w:asciiTheme="minorHAnsi" w:eastAsia="Calibri" w:hAnsiTheme="minorHAnsi" w:cstheme="minorHAnsi"/>
          <w:sz w:val="22"/>
          <w:szCs w:val="22"/>
        </w:rPr>
        <w:t>per un appartamento con camera matrimoniale, cameretta, cucina e bagn</w:t>
      </w:r>
      <w:r w:rsidR="0068237F">
        <w:rPr>
          <w:rFonts w:asciiTheme="minorHAnsi" w:eastAsia="Calibri" w:hAnsiTheme="minorHAnsi" w:cstheme="minorHAnsi"/>
          <w:sz w:val="22"/>
          <w:szCs w:val="22"/>
        </w:rPr>
        <w:t>o, 4 posti letto spese incluse</w:t>
      </w:r>
      <w:r w:rsidRPr="00893C10">
        <w:rPr>
          <w:rFonts w:asciiTheme="minorHAnsi" w:eastAsia="Calibri" w:hAnsiTheme="minorHAnsi" w:cstheme="minorHAnsi"/>
          <w:sz w:val="22"/>
          <w:szCs w:val="22"/>
        </w:rPr>
        <w:t>) di 37</w:t>
      </w:r>
      <w:r w:rsidR="00893C10" w:rsidRPr="00893C10">
        <w:rPr>
          <w:rFonts w:asciiTheme="minorHAnsi" w:eastAsia="Calibri" w:hAnsiTheme="minorHAnsi" w:cstheme="minorHAnsi"/>
          <w:sz w:val="22"/>
          <w:szCs w:val="22"/>
        </w:rPr>
        <w:t>0</w:t>
      </w:r>
      <w:r w:rsidRPr="00893C10">
        <w:rPr>
          <w:rFonts w:asciiTheme="minorHAnsi" w:eastAsia="Calibri" w:hAnsiTheme="minorHAnsi" w:cstheme="minorHAnsi"/>
          <w:sz w:val="22"/>
          <w:szCs w:val="22"/>
        </w:rPr>
        <w:t xml:space="preserve"> € per il mese di giugno, 530 € per luglio e 68</w:t>
      </w:r>
      <w:r w:rsidR="00893C10" w:rsidRPr="00893C10">
        <w:rPr>
          <w:rFonts w:asciiTheme="minorHAnsi" w:eastAsia="Calibri" w:hAnsiTheme="minorHAnsi" w:cstheme="minorHAnsi"/>
          <w:sz w:val="22"/>
          <w:szCs w:val="22"/>
        </w:rPr>
        <w:t>5</w:t>
      </w:r>
      <w:r w:rsidRPr="00893C10">
        <w:rPr>
          <w:rFonts w:asciiTheme="minorHAnsi" w:eastAsia="Calibri" w:hAnsiTheme="minorHAnsi" w:cstheme="minorHAnsi"/>
          <w:sz w:val="22"/>
          <w:szCs w:val="22"/>
        </w:rPr>
        <w:t xml:space="preserve"> € per agosto.</w:t>
      </w:r>
    </w:p>
    <w:p w:rsidR="00CB4779" w:rsidRPr="00733D27" w:rsidRDefault="00CB4779" w:rsidP="00364602">
      <w:pPr>
        <w:rPr>
          <w:rFonts w:asciiTheme="minorHAnsi" w:eastAsia="Calibri" w:hAnsiTheme="minorHAnsi" w:cstheme="minorHAnsi"/>
          <w:sz w:val="22"/>
          <w:szCs w:val="22"/>
          <w:highlight w:val="yellow"/>
        </w:rPr>
      </w:pPr>
    </w:p>
    <w:p w:rsidR="00F63B06" w:rsidRDefault="00FD183D" w:rsidP="00897A38">
      <w:pPr>
        <w:spacing w:after="120"/>
        <w:rPr>
          <w:rFonts w:asciiTheme="minorHAnsi" w:eastAsia="Calibri" w:hAnsiTheme="minorHAnsi" w:cstheme="minorHAnsi"/>
          <w:sz w:val="22"/>
          <w:szCs w:val="22"/>
        </w:rPr>
      </w:pPr>
      <w:r w:rsidRPr="00052395">
        <w:rPr>
          <w:rFonts w:asciiTheme="minorHAnsi" w:eastAsia="Calibri" w:hAnsiTheme="minorHAnsi" w:cstheme="minorHAnsi"/>
          <w:sz w:val="22"/>
          <w:szCs w:val="22"/>
        </w:rPr>
        <w:t>In questo segmento del mercato si riscontrano differenze tra le località lacuali e quelle marine/montane</w:t>
      </w:r>
      <w:r w:rsidR="00CC3C69" w:rsidRPr="00052395">
        <w:rPr>
          <w:rFonts w:asciiTheme="minorHAnsi" w:eastAsia="Calibri" w:hAnsiTheme="minorHAnsi" w:cstheme="minorHAnsi"/>
          <w:sz w:val="22"/>
          <w:szCs w:val="22"/>
        </w:rPr>
        <w:t>:</w:t>
      </w:r>
      <w:r w:rsidR="00CC3C69" w:rsidRPr="00FD183D">
        <w:rPr>
          <w:rFonts w:asciiTheme="minorHAnsi" w:eastAsia="Calibri" w:hAnsiTheme="minorHAnsi" w:cstheme="minorHAnsi"/>
          <w:sz w:val="22"/>
          <w:szCs w:val="22"/>
        </w:rPr>
        <w:t xml:space="preserve"> </w:t>
      </w:r>
    </w:p>
    <w:p w:rsidR="00B057C6" w:rsidRPr="00FD183D" w:rsidRDefault="00B057C6" w:rsidP="00897A38">
      <w:pPr>
        <w:spacing w:after="120"/>
        <w:rPr>
          <w:rFonts w:asciiTheme="minorHAnsi" w:eastAsia="Calibri" w:hAnsiTheme="minorHAnsi" w:cstheme="minorHAnsi"/>
          <w:sz w:val="22"/>
          <w:szCs w:val="22"/>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4"/>
        <w:gridCol w:w="2444"/>
        <w:gridCol w:w="2445"/>
        <w:gridCol w:w="2445"/>
      </w:tblGrid>
      <w:tr w:rsidR="00421BD4" w:rsidRPr="00421BD4" w:rsidTr="002D78BD">
        <w:trPr>
          <w:trHeight w:val="340"/>
          <w:jc w:val="center"/>
        </w:trPr>
        <w:tc>
          <w:tcPr>
            <w:tcW w:w="2444" w:type="dxa"/>
            <w:vAlign w:val="center"/>
          </w:tcPr>
          <w:p w:rsidR="00CC3C69" w:rsidRPr="00F02CF0" w:rsidRDefault="00B23B9D" w:rsidP="000D7640">
            <w:pPr>
              <w:jc w:val="left"/>
              <w:rPr>
                <w:rFonts w:asciiTheme="minorHAnsi" w:eastAsia="Calibri" w:hAnsiTheme="minorHAnsi" w:cstheme="minorHAnsi"/>
                <w:b w:val="0"/>
                <w:sz w:val="20"/>
              </w:rPr>
            </w:pPr>
            <w:r w:rsidRPr="00F02CF0">
              <w:rPr>
                <w:rFonts w:asciiTheme="minorHAnsi" w:eastAsia="Calibri" w:hAnsiTheme="minorHAnsi" w:cstheme="minorHAnsi"/>
                <w:b w:val="0"/>
                <w:caps w:val="0"/>
                <w:sz w:val="20"/>
              </w:rPr>
              <w:t xml:space="preserve">Tavola </w:t>
            </w:r>
            <w:r w:rsidR="000D7640" w:rsidRPr="00F02CF0">
              <w:rPr>
                <w:rFonts w:asciiTheme="minorHAnsi" w:eastAsia="Calibri" w:hAnsiTheme="minorHAnsi" w:cstheme="minorHAnsi"/>
                <w:b w:val="0"/>
                <w:caps w:val="0"/>
                <w:sz w:val="20"/>
              </w:rPr>
              <w:t>5</w:t>
            </w:r>
          </w:p>
        </w:tc>
        <w:tc>
          <w:tcPr>
            <w:tcW w:w="7334" w:type="dxa"/>
            <w:gridSpan w:val="3"/>
            <w:shd w:val="clear" w:color="auto" w:fill="D9D9D9" w:themeFill="background1" w:themeFillShade="D9"/>
            <w:vAlign w:val="center"/>
          </w:tcPr>
          <w:p w:rsidR="00CC3C69" w:rsidRPr="00F02CF0" w:rsidRDefault="00CC3C69" w:rsidP="00052395">
            <w:pPr>
              <w:jc w:val="center"/>
              <w:rPr>
                <w:rFonts w:asciiTheme="minorHAnsi" w:eastAsia="Calibri" w:hAnsiTheme="minorHAnsi" w:cstheme="minorHAnsi"/>
                <w:caps w:val="0"/>
                <w:sz w:val="20"/>
              </w:rPr>
            </w:pPr>
            <w:r w:rsidRPr="00F02CF0">
              <w:rPr>
                <w:rFonts w:asciiTheme="minorHAnsi" w:eastAsia="Calibri" w:hAnsiTheme="minorHAnsi" w:cstheme="minorHAnsi"/>
                <w:caps w:val="0"/>
                <w:sz w:val="20"/>
              </w:rPr>
              <w:t>Canone medio</w:t>
            </w:r>
            <w:r w:rsidR="00856627" w:rsidRPr="00F02CF0">
              <w:rPr>
                <w:rFonts w:asciiTheme="minorHAnsi" w:eastAsia="Calibri" w:hAnsiTheme="minorHAnsi" w:cstheme="minorHAnsi"/>
                <w:caps w:val="0"/>
                <w:sz w:val="20"/>
              </w:rPr>
              <w:t xml:space="preserve"> </w:t>
            </w:r>
            <w:r w:rsidR="003D3270" w:rsidRPr="00F02CF0">
              <w:rPr>
                <w:rFonts w:asciiTheme="minorHAnsi" w:eastAsia="Calibri" w:hAnsiTheme="minorHAnsi" w:cstheme="minorHAnsi"/>
                <w:caps w:val="0"/>
                <w:sz w:val="20"/>
              </w:rPr>
              <w:t>settimanale</w:t>
            </w:r>
            <w:r w:rsidR="00F02CF0" w:rsidRPr="00F02CF0">
              <w:rPr>
                <w:rFonts w:asciiTheme="minorHAnsi" w:eastAsia="Calibri" w:hAnsiTheme="minorHAnsi" w:cstheme="minorHAnsi"/>
                <w:caps w:val="0"/>
                <w:sz w:val="20"/>
              </w:rPr>
              <w:t xml:space="preserve"> 201</w:t>
            </w:r>
            <w:r w:rsidR="00052395">
              <w:rPr>
                <w:rFonts w:asciiTheme="minorHAnsi" w:eastAsia="Calibri" w:hAnsiTheme="minorHAnsi" w:cstheme="minorHAnsi"/>
                <w:caps w:val="0"/>
                <w:sz w:val="20"/>
              </w:rPr>
              <w:t>7</w:t>
            </w:r>
          </w:p>
        </w:tc>
      </w:tr>
      <w:tr w:rsidR="00421BD4" w:rsidRPr="00421BD4" w:rsidTr="002D78BD">
        <w:trPr>
          <w:trHeight w:val="340"/>
          <w:jc w:val="center"/>
        </w:trPr>
        <w:tc>
          <w:tcPr>
            <w:tcW w:w="2444" w:type="dxa"/>
            <w:vAlign w:val="center"/>
          </w:tcPr>
          <w:p w:rsidR="00CC3C69" w:rsidRPr="00F02CF0" w:rsidRDefault="00CC3C69" w:rsidP="002D78BD">
            <w:pPr>
              <w:jc w:val="left"/>
              <w:rPr>
                <w:rFonts w:asciiTheme="minorHAnsi" w:eastAsia="Calibri" w:hAnsiTheme="minorHAnsi" w:cstheme="minorHAnsi"/>
                <w:sz w:val="20"/>
              </w:rPr>
            </w:pPr>
          </w:p>
        </w:tc>
        <w:tc>
          <w:tcPr>
            <w:tcW w:w="2444" w:type="dxa"/>
            <w:shd w:val="clear" w:color="auto" w:fill="F2F2F2" w:themeFill="background1" w:themeFillShade="F2"/>
            <w:vAlign w:val="center"/>
          </w:tcPr>
          <w:p w:rsidR="00CC3C69" w:rsidRPr="00F02CF0" w:rsidRDefault="00CC3C69" w:rsidP="002D78BD">
            <w:pPr>
              <w:jc w:val="center"/>
              <w:rPr>
                <w:rFonts w:asciiTheme="minorHAnsi" w:eastAsia="Calibri" w:hAnsiTheme="minorHAnsi" w:cstheme="minorHAnsi"/>
                <w:sz w:val="20"/>
              </w:rPr>
            </w:pPr>
            <w:r w:rsidRPr="00F02CF0">
              <w:rPr>
                <w:rFonts w:asciiTheme="minorHAnsi" w:eastAsia="Calibri" w:hAnsiTheme="minorHAnsi" w:cstheme="minorHAnsi"/>
                <w:caps w:val="0"/>
                <w:sz w:val="20"/>
              </w:rPr>
              <w:t>Mese di giugno</w:t>
            </w:r>
          </w:p>
        </w:tc>
        <w:tc>
          <w:tcPr>
            <w:tcW w:w="2445" w:type="dxa"/>
            <w:shd w:val="clear" w:color="auto" w:fill="F2F2F2" w:themeFill="background1" w:themeFillShade="F2"/>
            <w:vAlign w:val="center"/>
          </w:tcPr>
          <w:p w:rsidR="00CC3C69" w:rsidRPr="00F02CF0" w:rsidRDefault="00CC3C69" w:rsidP="002D78BD">
            <w:pPr>
              <w:jc w:val="center"/>
              <w:rPr>
                <w:rFonts w:asciiTheme="minorHAnsi" w:eastAsia="Calibri" w:hAnsiTheme="minorHAnsi" w:cstheme="minorHAnsi"/>
                <w:sz w:val="20"/>
              </w:rPr>
            </w:pPr>
            <w:r w:rsidRPr="00F02CF0">
              <w:rPr>
                <w:rFonts w:asciiTheme="minorHAnsi" w:eastAsia="Calibri" w:hAnsiTheme="minorHAnsi" w:cstheme="minorHAnsi"/>
                <w:caps w:val="0"/>
                <w:sz w:val="20"/>
              </w:rPr>
              <w:t>Mese di luglio</w:t>
            </w:r>
          </w:p>
        </w:tc>
        <w:tc>
          <w:tcPr>
            <w:tcW w:w="2445" w:type="dxa"/>
            <w:shd w:val="clear" w:color="auto" w:fill="F2F2F2" w:themeFill="background1" w:themeFillShade="F2"/>
            <w:vAlign w:val="center"/>
          </w:tcPr>
          <w:p w:rsidR="00CC3C69" w:rsidRPr="00F02CF0" w:rsidRDefault="00CC3C69" w:rsidP="002D78BD">
            <w:pPr>
              <w:jc w:val="center"/>
              <w:rPr>
                <w:rFonts w:asciiTheme="minorHAnsi" w:eastAsia="Calibri" w:hAnsiTheme="minorHAnsi" w:cstheme="minorHAnsi"/>
                <w:sz w:val="20"/>
              </w:rPr>
            </w:pPr>
            <w:r w:rsidRPr="00F02CF0">
              <w:rPr>
                <w:rFonts w:asciiTheme="minorHAnsi" w:eastAsia="Calibri" w:hAnsiTheme="minorHAnsi" w:cstheme="minorHAnsi"/>
                <w:caps w:val="0"/>
                <w:sz w:val="20"/>
              </w:rPr>
              <w:t>Mese di agosto</w:t>
            </w:r>
          </w:p>
        </w:tc>
      </w:tr>
      <w:tr w:rsidR="00743303" w:rsidRPr="00421BD4" w:rsidTr="00FC0A4A">
        <w:trPr>
          <w:trHeight w:val="340"/>
          <w:jc w:val="center"/>
        </w:trPr>
        <w:tc>
          <w:tcPr>
            <w:tcW w:w="2444" w:type="dxa"/>
            <w:shd w:val="clear" w:color="auto" w:fill="DBE5F1" w:themeFill="accent1" w:themeFillTint="33"/>
            <w:vAlign w:val="center"/>
          </w:tcPr>
          <w:p w:rsidR="00743303" w:rsidRPr="00FD183D" w:rsidRDefault="00743303" w:rsidP="00F34283">
            <w:pPr>
              <w:jc w:val="left"/>
              <w:rPr>
                <w:rFonts w:asciiTheme="minorHAnsi" w:eastAsia="Calibri" w:hAnsiTheme="minorHAnsi" w:cstheme="minorHAnsi"/>
                <w:caps w:val="0"/>
                <w:sz w:val="20"/>
              </w:rPr>
            </w:pPr>
            <w:r w:rsidRPr="00FD183D">
              <w:rPr>
                <w:rFonts w:asciiTheme="minorHAnsi" w:eastAsia="Calibri" w:hAnsiTheme="minorHAnsi" w:cstheme="minorHAnsi"/>
                <w:caps w:val="0"/>
                <w:sz w:val="20"/>
              </w:rPr>
              <w:t>Località lacuali</w:t>
            </w:r>
          </w:p>
        </w:tc>
        <w:tc>
          <w:tcPr>
            <w:tcW w:w="2444" w:type="dxa"/>
            <w:shd w:val="clear" w:color="auto" w:fill="DBE5F1" w:themeFill="accent1" w:themeFillTint="33"/>
            <w:vAlign w:val="bottom"/>
          </w:tcPr>
          <w:p w:rsidR="00743303" w:rsidRPr="00743303" w:rsidRDefault="00743303" w:rsidP="00893C10">
            <w:pPr>
              <w:jc w:val="center"/>
              <w:rPr>
                <w:rFonts w:ascii="Calibri" w:hAnsi="Calibri" w:cs="Arial"/>
                <w:b w:val="0"/>
                <w:sz w:val="20"/>
              </w:rPr>
            </w:pPr>
            <w:r w:rsidRPr="00743303">
              <w:rPr>
                <w:rFonts w:ascii="Calibri" w:hAnsi="Calibri" w:cs="Arial"/>
                <w:b w:val="0"/>
                <w:sz w:val="20"/>
              </w:rPr>
              <w:t>56</w:t>
            </w:r>
            <w:r w:rsidR="00893C10">
              <w:rPr>
                <w:rFonts w:ascii="Calibri" w:hAnsi="Calibri" w:cs="Arial"/>
                <w:b w:val="0"/>
                <w:sz w:val="20"/>
              </w:rPr>
              <w:t>0</w:t>
            </w:r>
            <w:r>
              <w:rPr>
                <w:rFonts w:ascii="Calibri" w:hAnsi="Calibri" w:cs="Arial"/>
                <w:b w:val="0"/>
                <w:sz w:val="20"/>
              </w:rPr>
              <w:t xml:space="preserve"> €</w:t>
            </w:r>
          </w:p>
        </w:tc>
        <w:tc>
          <w:tcPr>
            <w:tcW w:w="2445" w:type="dxa"/>
            <w:shd w:val="clear" w:color="auto" w:fill="DBE5F1" w:themeFill="accent1" w:themeFillTint="33"/>
            <w:vAlign w:val="bottom"/>
          </w:tcPr>
          <w:p w:rsidR="00743303" w:rsidRPr="00743303" w:rsidRDefault="00743303" w:rsidP="00893C10">
            <w:pPr>
              <w:jc w:val="center"/>
              <w:rPr>
                <w:rFonts w:ascii="Calibri" w:hAnsi="Calibri" w:cs="Arial"/>
                <w:b w:val="0"/>
                <w:sz w:val="20"/>
              </w:rPr>
            </w:pPr>
            <w:r w:rsidRPr="00743303">
              <w:rPr>
                <w:rFonts w:ascii="Calibri" w:hAnsi="Calibri" w:cs="Arial"/>
                <w:b w:val="0"/>
                <w:sz w:val="20"/>
              </w:rPr>
              <w:t>70</w:t>
            </w:r>
            <w:r w:rsidR="00893C10">
              <w:rPr>
                <w:rFonts w:ascii="Calibri" w:hAnsi="Calibri" w:cs="Arial"/>
                <w:b w:val="0"/>
                <w:sz w:val="20"/>
              </w:rPr>
              <w:t>0</w:t>
            </w:r>
            <w:r>
              <w:rPr>
                <w:rFonts w:ascii="Calibri" w:hAnsi="Calibri" w:cs="Arial"/>
                <w:b w:val="0"/>
                <w:sz w:val="20"/>
              </w:rPr>
              <w:t xml:space="preserve"> €</w:t>
            </w:r>
          </w:p>
        </w:tc>
        <w:tc>
          <w:tcPr>
            <w:tcW w:w="2445" w:type="dxa"/>
            <w:shd w:val="clear" w:color="auto" w:fill="DBE5F1" w:themeFill="accent1" w:themeFillTint="33"/>
            <w:vAlign w:val="bottom"/>
          </w:tcPr>
          <w:p w:rsidR="00743303" w:rsidRPr="00743303" w:rsidRDefault="00743303" w:rsidP="00893C10">
            <w:pPr>
              <w:jc w:val="center"/>
              <w:rPr>
                <w:rFonts w:ascii="Calibri" w:hAnsi="Calibri" w:cs="Arial"/>
                <w:b w:val="0"/>
                <w:sz w:val="20"/>
              </w:rPr>
            </w:pPr>
            <w:r w:rsidRPr="00743303">
              <w:rPr>
                <w:rFonts w:ascii="Calibri" w:hAnsi="Calibri" w:cs="Arial"/>
                <w:b w:val="0"/>
                <w:sz w:val="20"/>
              </w:rPr>
              <w:t>8</w:t>
            </w:r>
            <w:r w:rsidR="00893C10">
              <w:rPr>
                <w:rFonts w:ascii="Calibri" w:hAnsi="Calibri" w:cs="Arial"/>
                <w:b w:val="0"/>
                <w:sz w:val="20"/>
              </w:rPr>
              <w:t>60</w:t>
            </w:r>
            <w:r>
              <w:rPr>
                <w:rFonts w:ascii="Calibri" w:hAnsi="Calibri" w:cs="Arial"/>
                <w:b w:val="0"/>
                <w:sz w:val="20"/>
              </w:rPr>
              <w:t xml:space="preserve"> €</w:t>
            </w:r>
          </w:p>
        </w:tc>
      </w:tr>
      <w:tr w:rsidR="00743303" w:rsidRPr="00421BD4" w:rsidTr="00FC0A4A">
        <w:trPr>
          <w:trHeight w:val="340"/>
          <w:jc w:val="center"/>
        </w:trPr>
        <w:tc>
          <w:tcPr>
            <w:tcW w:w="2444" w:type="dxa"/>
            <w:shd w:val="clear" w:color="auto" w:fill="DBE5F1" w:themeFill="accent1" w:themeFillTint="33"/>
            <w:vAlign w:val="center"/>
          </w:tcPr>
          <w:p w:rsidR="00743303" w:rsidRPr="00FD183D" w:rsidRDefault="00743303" w:rsidP="00F34283">
            <w:pPr>
              <w:jc w:val="left"/>
              <w:rPr>
                <w:rFonts w:asciiTheme="minorHAnsi" w:eastAsia="Calibri" w:hAnsiTheme="minorHAnsi" w:cstheme="minorHAnsi"/>
                <w:sz w:val="20"/>
              </w:rPr>
            </w:pPr>
            <w:r w:rsidRPr="00FD183D">
              <w:rPr>
                <w:rFonts w:asciiTheme="minorHAnsi" w:eastAsia="Calibri" w:hAnsiTheme="minorHAnsi" w:cstheme="minorHAnsi"/>
                <w:caps w:val="0"/>
                <w:sz w:val="20"/>
              </w:rPr>
              <w:t>Località marine</w:t>
            </w:r>
          </w:p>
        </w:tc>
        <w:tc>
          <w:tcPr>
            <w:tcW w:w="2444" w:type="dxa"/>
            <w:shd w:val="clear" w:color="auto" w:fill="DBE5F1" w:themeFill="accent1" w:themeFillTint="33"/>
            <w:vAlign w:val="bottom"/>
          </w:tcPr>
          <w:p w:rsidR="00743303" w:rsidRPr="00743303" w:rsidRDefault="00743303" w:rsidP="00893C10">
            <w:pPr>
              <w:jc w:val="center"/>
              <w:rPr>
                <w:rFonts w:ascii="Calibri" w:hAnsi="Calibri" w:cs="Arial"/>
                <w:b w:val="0"/>
                <w:sz w:val="20"/>
              </w:rPr>
            </w:pPr>
            <w:r w:rsidRPr="00743303">
              <w:rPr>
                <w:rFonts w:ascii="Calibri" w:hAnsi="Calibri" w:cs="Arial"/>
                <w:b w:val="0"/>
                <w:sz w:val="20"/>
              </w:rPr>
              <w:t>35</w:t>
            </w:r>
            <w:r w:rsidR="00893C10">
              <w:rPr>
                <w:rFonts w:ascii="Calibri" w:hAnsi="Calibri" w:cs="Arial"/>
                <w:b w:val="0"/>
                <w:sz w:val="20"/>
              </w:rPr>
              <w:t>0</w:t>
            </w:r>
            <w:r>
              <w:rPr>
                <w:rFonts w:ascii="Calibri" w:hAnsi="Calibri" w:cs="Arial"/>
                <w:b w:val="0"/>
                <w:sz w:val="20"/>
              </w:rPr>
              <w:t xml:space="preserve"> €</w:t>
            </w:r>
          </w:p>
        </w:tc>
        <w:tc>
          <w:tcPr>
            <w:tcW w:w="2445" w:type="dxa"/>
            <w:shd w:val="clear" w:color="auto" w:fill="DBE5F1" w:themeFill="accent1" w:themeFillTint="33"/>
            <w:vAlign w:val="bottom"/>
          </w:tcPr>
          <w:p w:rsidR="00743303" w:rsidRPr="00743303" w:rsidRDefault="00743303" w:rsidP="00893C10">
            <w:pPr>
              <w:jc w:val="center"/>
              <w:rPr>
                <w:rFonts w:ascii="Calibri" w:hAnsi="Calibri" w:cs="Arial"/>
                <w:b w:val="0"/>
                <w:sz w:val="20"/>
              </w:rPr>
            </w:pPr>
            <w:r w:rsidRPr="00743303">
              <w:rPr>
                <w:rFonts w:ascii="Calibri" w:hAnsi="Calibri" w:cs="Arial"/>
                <w:b w:val="0"/>
                <w:sz w:val="20"/>
              </w:rPr>
              <w:t>51</w:t>
            </w:r>
            <w:r w:rsidR="00893C10">
              <w:rPr>
                <w:rFonts w:ascii="Calibri" w:hAnsi="Calibri" w:cs="Arial"/>
                <w:b w:val="0"/>
                <w:sz w:val="20"/>
              </w:rPr>
              <w:t>0</w:t>
            </w:r>
            <w:r>
              <w:rPr>
                <w:rFonts w:ascii="Calibri" w:hAnsi="Calibri" w:cs="Arial"/>
                <w:b w:val="0"/>
                <w:sz w:val="20"/>
              </w:rPr>
              <w:t xml:space="preserve"> €</w:t>
            </w:r>
          </w:p>
        </w:tc>
        <w:tc>
          <w:tcPr>
            <w:tcW w:w="2445" w:type="dxa"/>
            <w:shd w:val="clear" w:color="auto" w:fill="DBE5F1" w:themeFill="accent1" w:themeFillTint="33"/>
            <w:vAlign w:val="bottom"/>
          </w:tcPr>
          <w:p w:rsidR="00743303" w:rsidRPr="00743303" w:rsidRDefault="00743303" w:rsidP="006D70DD">
            <w:pPr>
              <w:jc w:val="center"/>
              <w:rPr>
                <w:rFonts w:ascii="Calibri" w:hAnsi="Calibri" w:cs="Arial"/>
                <w:b w:val="0"/>
                <w:sz w:val="20"/>
              </w:rPr>
            </w:pPr>
            <w:r w:rsidRPr="00743303">
              <w:rPr>
                <w:rFonts w:ascii="Calibri" w:hAnsi="Calibri" w:cs="Arial"/>
                <w:b w:val="0"/>
                <w:sz w:val="20"/>
              </w:rPr>
              <w:t>670</w:t>
            </w:r>
            <w:r>
              <w:rPr>
                <w:rFonts w:ascii="Calibri" w:hAnsi="Calibri" w:cs="Arial"/>
                <w:b w:val="0"/>
                <w:sz w:val="20"/>
              </w:rPr>
              <w:t xml:space="preserve"> €</w:t>
            </w:r>
          </w:p>
        </w:tc>
      </w:tr>
      <w:tr w:rsidR="00743303" w:rsidRPr="00421BD4" w:rsidTr="00FC0A4A">
        <w:trPr>
          <w:trHeight w:val="340"/>
          <w:jc w:val="center"/>
        </w:trPr>
        <w:tc>
          <w:tcPr>
            <w:tcW w:w="2444" w:type="dxa"/>
            <w:shd w:val="clear" w:color="auto" w:fill="DBE5F1" w:themeFill="accent1" w:themeFillTint="33"/>
            <w:vAlign w:val="center"/>
          </w:tcPr>
          <w:p w:rsidR="00743303" w:rsidRPr="00FD183D" w:rsidRDefault="00743303" w:rsidP="00F34283">
            <w:pPr>
              <w:jc w:val="left"/>
              <w:rPr>
                <w:rFonts w:asciiTheme="minorHAnsi" w:eastAsia="Calibri" w:hAnsiTheme="minorHAnsi" w:cstheme="minorHAnsi"/>
                <w:sz w:val="20"/>
              </w:rPr>
            </w:pPr>
            <w:r w:rsidRPr="00FD183D">
              <w:rPr>
                <w:rFonts w:asciiTheme="minorHAnsi" w:eastAsia="Calibri" w:hAnsiTheme="minorHAnsi" w:cstheme="minorHAnsi"/>
                <w:caps w:val="0"/>
                <w:sz w:val="20"/>
              </w:rPr>
              <w:t>Località montane</w:t>
            </w:r>
          </w:p>
        </w:tc>
        <w:tc>
          <w:tcPr>
            <w:tcW w:w="2444" w:type="dxa"/>
            <w:shd w:val="clear" w:color="auto" w:fill="DBE5F1" w:themeFill="accent1" w:themeFillTint="33"/>
            <w:vAlign w:val="bottom"/>
          </w:tcPr>
          <w:p w:rsidR="00743303" w:rsidRPr="00743303" w:rsidRDefault="00743303" w:rsidP="00893C10">
            <w:pPr>
              <w:jc w:val="center"/>
              <w:rPr>
                <w:rFonts w:ascii="Calibri" w:hAnsi="Calibri" w:cs="Arial"/>
                <w:b w:val="0"/>
                <w:sz w:val="20"/>
              </w:rPr>
            </w:pPr>
            <w:r w:rsidRPr="00743303">
              <w:rPr>
                <w:rFonts w:ascii="Calibri" w:hAnsi="Calibri" w:cs="Arial"/>
                <w:b w:val="0"/>
                <w:sz w:val="20"/>
              </w:rPr>
              <w:t>36</w:t>
            </w:r>
            <w:r w:rsidR="00893C10">
              <w:rPr>
                <w:rFonts w:ascii="Calibri" w:hAnsi="Calibri" w:cs="Arial"/>
                <w:b w:val="0"/>
                <w:sz w:val="20"/>
              </w:rPr>
              <w:t>5</w:t>
            </w:r>
            <w:r>
              <w:rPr>
                <w:rFonts w:ascii="Calibri" w:hAnsi="Calibri" w:cs="Arial"/>
                <w:b w:val="0"/>
                <w:sz w:val="20"/>
              </w:rPr>
              <w:t xml:space="preserve"> €</w:t>
            </w:r>
          </w:p>
        </w:tc>
        <w:tc>
          <w:tcPr>
            <w:tcW w:w="2445" w:type="dxa"/>
            <w:shd w:val="clear" w:color="auto" w:fill="DBE5F1" w:themeFill="accent1" w:themeFillTint="33"/>
            <w:vAlign w:val="bottom"/>
          </w:tcPr>
          <w:p w:rsidR="00743303" w:rsidRPr="00743303" w:rsidRDefault="00743303" w:rsidP="006D70DD">
            <w:pPr>
              <w:jc w:val="center"/>
              <w:rPr>
                <w:rFonts w:ascii="Calibri" w:hAnsi="Calibri" w:cs="Arial"/>
                <w:b w:val="0"/>
                <w:sz w:val="20"/>
              </w:rPr>
            </w:pPr>
            <w:r w:rsidRPr="00743303">
              <w:rPr>
                <w:rFonts w:ascii="Calibri" w:hAnsi="Calibri" w:cs="Arial"/>
                <w:b w:val="0"/>
                <w:sz w:val="20"/>
              </w:rPr>
              <w:t>525</w:t>
            </w:r>
            <w:r>
              <w:rPr>
                <w:rFonts w:ascii="Calibri" w:hAnsi="Calibri" w:cs="Arial"/>
                <w:b w:val="0"/>
                <w:sz w:val="20"/>
              </w:rPr>
              <w:t xml:space="preserve"> €</w:t>
            </w:r>
          </w:p>
        </w:tc>
        <w:tc>
          <w:tcPr>
            <w:tcW w:w="2445" w:type="dxa"/>
            <w:shd w:val="clear" w:color="auto" w:fill="DBE5F1" w:themeFill="accent1" w:themeFillTint="33"/>
            <w:vAlign w:val="bottom"/>
          </w:tcPr>
          <w:p w:rsidR="00743303" w:rsidRPr="00743303" w:rsidRDefault="00893C10" w:rsidP="006D70DD">
            <w:pPr>
              <w:jc w:val="center"/>
              <w:rPr>
                <w:rFonts w:ascii="Calibri" w:hAnsi="Calibri" w:cs="Arial"/>
                <w:b w:val="0"/>
                <w:sz w:val="20"/>
              </w:rPr>
            </w:pPr>
            <w:r>
              <w:rPr>
                <w:rFonts w:ascii="Calibri" w:hAnsi="Calibri" w:cs="Arial"/>
                <w:b w:val="0"/>
                <w:sz w:val="20"/>
              </w:rPr>
              <w:t>6</w:t>
            </w:r>
            <w:r w:rsidR="00743303" w:rsidRPr="00743303">
              <w:rPr>
                <w:rFonts w:ascii="Calibri" w:hAnsi="Calibri" w:cs="Arial"/>
                <w:b w:val="0"/>
                <w:sz w:val="20"/>
              </w:rPr>
              <w:t>8</w:t>
            </w:r>
            <w:r>
              <w:rPr>
                <w:rFonts w:ascii="Calibri" w:hAnsi="Calibri" w:cs="Arial"/>
                <w:b w:val="0"/>
                <w:sz w:val="20"/>
              </w:rPr>
              <w:t>0</w:t>
            </w:r>
            <w:r w:rsidR="00743303">
              <w:rPr>
                <w:rFonts w:ascii="Calibri" w:hAnsi="Calibri" w:cs="Arial"/>
                <w:b w:val="0"/>
                <w:sz w:val="20"/>
              </w:rPr>
              <w:t xml:space="preserve"> €</w:t>
            </w:r>
          </w:p>
        </w:tc>
      </w:tr>
    </w:tbl>
    <w:p w:rsidR="008D7331" w:rsidRPr="00421BD4" w:rsidRDefault="008D7331" w:rsidP="008D7331">
      <w:pPr>
        <w:spacing w:before="60"/>
        <w:rPr>
          <w:rFonts w:asciiTheme="minorHAnsi" w:eastAsia="Calibri" w:hAnsiTheme="minorHAnsi" w:cstheme="minorHAnsi"/>
          <w:sz w:val="18"/>
        </w:rPr>
      </w:pPr>
      <w:r w:rsidRPr="00421BD4">
        <w:rPr>
          <w:rFonts w:asciiTheme="minorHAnsi" w:eastAsia="Calibri" w:hAnsiTheme="minorHAnsi" w:cstheme="minorHAnsi"/>
          <w:sz w:val="18"/>
        </w:rPr>
        <w:t>Fonte: Nomisma e Fimaa</w:t>
      </w:r>
      <w:r w:rsidR="00AC5889" w:rsidRPr="00421BD4">
        <w:rPr>
          <w:rFonts w:asciiTheme="minorHAnsi" w:eastAsia="Calibri" w:hAnsiTheme="minorHAnsi" w:cstheme="minorHAnsi"/>
          <w:sz w:val="18"/>
        </w:rPr>
        <w:t>-Confcommercio</w:t>
      </w:r>
    </w:p>
    <w:p w:rsidR="00743303" w:rsidRPr="00FD183D" w:rsidRDefault="00743303" w:rsidP="00364602">
      <w:pPr>
        <w:rPr>
          <w:rFonts w:asciiTheme="minorHAnsi" w:eastAsia="Calibri" w:hAnsiTheme="minorHAnsi" w:cstheme="minorHAnsi"/>
          <w:sz w:val="22"/>
          <w:szCs w:val="24"/>
        </w:rPr>
      </w:pPr>
    </w:p>
    <w:p w:rsidR="00623961" w:rsidRDefault="00486B1F" w:rsidP="00486B1F">
      <w:pPr>
        <w:rPr>
          <w:rFonts w:asciiTheme="minorHAnsi" w:eastAsia="Calibri" w:hAnsiTheme="minorHAnsi" w:cstheme="minorHAnsi"/>
          <w:sz w:val="22"/>
        </w:rPr>
      </w:pPr>
      <w:r w:rsidRPr="00B057C6">
        <w:rPr>
          <w:rFonts w:asciiTheme="minorHAnsi" w:eastAsia="Calibri" w:hAnsiTheme="minorHAnsi" w:cstheme="minorHAnsi"/>
          <w:sz w:val="22"/>
        </w:rPr>
        <w:t xml:space="preserve">Due ultime annotazioni riguardano le motivazioni </w:t>
      </w:r>
      <w:r w:rsidR="00CA2679" w:rsidRPr="00B057C6">
        <w:rPr>
          <w:rFonts w:asciiTheme="minorHAnsi" w:eastAsia="Calibri" w:hAnsiTheme="minorHAnsi" w:cstheme="minorHAnsi"/>
          <w:sz w:val="22"/>
        </w:rPr>
        <w:t>d</w:t>
      </w:r>
      <w:r w:rsidRPr="00B057C6">
        <w:rPr>
          <w:rFonts w:asciiTheme="minorHAnsi" w:eastAsia="Calibri" w:hAnsiTheme="minorHAnsi" w:cstheme="minorHAnsi"/>
          <w:sz w:val="22"/>
        </w:rPr>
        <w:t xml:space="preserve">’acquisto e la distribuzione della domanda tra italiani e stranieri. Riguardo al primo aspetto, il mercato residenziale nelle località turistiche è </w:t>
      </w:r>
      <w:r w:rsidR="0068237F">
        <w:rPr>
          <w:rFonts w:asciiTheme="minorHAnsi" w:eastAsia="Calibri" w:hAnsiTheme="minorHAnsi" w:cstheme="minorHAnsi"/>
          <w:sz w:val="22"/>
        </w:rPr>
        <w:t>alimentato</w:t>
      </w:r>
      <w:r w:rsidRPr="00B057C6">
        <w:rPr>
          <w:rFonts w:asciiTheme="minorHAnsi" w:eastAsia="Calibri" w:hAnsiTheme="minorHAnsi" w:cstheme="minorHAnsi"/>
          <w:sz w:val="22"/>
        </w:rPr>
        <w:t xml:space="preserve"> principalmente dagli acquisti per utilizzo diretto (6</w:t>
      </w:r>
      <w:r w:rsidR="00B057C6" w:rsidRPr="00B057C6">
        <w:rPr>
          <w:rFonts w:asciiTheme="minorHAnsi" w:eastAsia="Calibri" w:hAnsiTheme="minorHAnsi" w:cstheme="minorHAnsi"/>
          <w:sz w:val="22"/>
        </w:rPr>
        <w:t>4,1</w:t>
      </w:r>
      <w:r w:rsidRPr="00B057C6">
        <w:rPr>
          <w:rFonts w:asciiTheme="minorHAnsi" w:eastAsia="Calibri" w:hAnsiTheme="minorHAnsi" w:cstheme="minorHAnsi"/>
          <w:sz w:val="22"/>
        </w:rPr>
        <w:t xml:space="preserve">%), mentre </w:t>
      </w:r>
      <w:r w:rsidR="0068237F">
        <w:rPr>
          <w:rFonts w:asciiTheme="minorHAnsi" w:eastAsia="Calibri" w:hAnsiTheme="minorHAnsi" w:cstheme="minorHAnsi"/>
          <w:sz w:val="22"/>
        </w:rPr>
        <w:t xml:space="preserve">le quote restanti sono riconducibili a </w:t>
      </w:r>
      <w:r w:rsidRPr="00B057C6">
        <w:rPr>
          <w:rFonts w:asciiTheme="minorHAnsi" w:eastAsia="Calibri" w:hAnsiTheme="minorHAnsi" w:cstheme="minorHAnsi"/>
          <w:sz w:val="22"/>
        </w:rPr>
        <w:t xml:space="preserve"> finalità di investimento (19</w:t>
      </w:r>
      <w:r w:rsidR="00B057C6" w:rsidRPr="00B057C6">
        <w:rPr>
          <w:rFonts w:asciiTheme="minorHAnsi" w:eastAsia="Calibri" w:hAnsiTheme="minorHAnsi" w:cstheme="minorHAnsi"/>
          <w:sz w:val="22"/>
        </w:rPr>
        <w:t>,3</w:t>
      </w:r>
      <w:r w:rsidRPr="00B057C6">
        <w:rPr>
          <w:rFonts w:asciiTheme="minorHAnsi" w:eastAsia="Calibri" w:hAnsiTheme="minorHAnsi" w:cstheme="minorHAnsi"/>
          <w:sz w:val="22"/>
        </w:rPr>
        <w:t xml:space="preserve">%) o </w:t>
      </w:r>
      <w:r w:rsidR="0068237F">
        <w:rPr>
          <w:rFonts w:asciiTheme="minorHAnsi" w:eastAsia="Calibri" w:hAnsiTheme="minorHAnsi" w:cstheme="minorHAnsi"/>
          <w:sz w:val="22"/>
        </w:rPr>
        <w:t>ad</w:t>
      </w:r>
      <w:r w:rsidRPr="00B057C6">
        <w:rPr>
          <w:rFonts w:asciiTheme="minorHAnsi" w:eastAsia="Calibri" w:hAnsiTheme="minorHAnsi" w:cstheme="minorHAnsi"/>
          <w:sz w:val="22"/>
        </w:rPr>
        <w:t xml:space="preserve"> un misto delle due tipologie</w:t>
      </w:r>
      <w:r w:rsidR="0068237F">
        <w:rPr>
          <w:rFonts w:asciiTheme="minorHAnsi" w:eastAsia="Calibri" w:hAnsiTheme="minorHAnsi" w:cstheme="minorHAnsi"/>
          <w:sz w:val="22"/>
        </w:rPr>
        <w:t xml:space="preserve"> precedentemente citate</w:t>
      </w:r>
      <w:r w:rsidRPr="00B057C6">
        <w:rPr>
          <w:rFonts w:asciiTheme="minorHAnsi" w:eastAsia="Calibri" w:hAnsiTheme="minorHAnsi" w:cstheme="minorHAnsi"/>
          <w:sz w:val="22"/>
        </w:rPr>
        <w:t xml:space="preserve"> (16</w:t>
      </w:r>
      <w:r w:rsidR="00B057C6" w:rsidRPr="00B057C6">
        <w:rPr>
          <w:rFonts w:asciiTheme="minorHAnsi" w:eastAsia="Calibri" w:hAnsiTheme="minorHAnsi" w:cstheme="minorHAnsi"/>
          <w:sz w:val="22"/>
        </w:rPr>
        <w:t>,6</w:t>
      </w:r>
      <w:r w:rsidRPr="00B057C6">
        <w:rPr>
          <w:rFonts w:asciiTheme="minorHAnsi" w:eastAsia="Calibri" w:hAnsiTheme="minorHAnsi" w:cstheme="minorHAnsi"/>
          <w:sz w:val="22"/>
        </w:rPr>
        <w:t xml:space="preserve">%). </w:t>
      </w:r>
    </w:p>
    <w:p w:rsidR="00623961" w:rsidRDefault="00486B1F" w:rsidP="00486B1F">
      <w:pPr>
        <w:rPr>
          <w:rFonts w:asciiTheme="minorHAnsi" w:eastAsia="Calibri" w:hAnsiTheme="minorHAnsi" w:cstheme="minorHAnsi"/>
          <w:sz w:val="22"/>
        </w:rPr>
      </w:pPr>
      <w:r w:rsidRPr="00B057C6">
        <w:rPr>
          <w:rFonts w:asciiTheme="minorHAnsi" w:eastAsia="Calibri" w:hAnsiTheme="minorHAnsi" w:cstheme="minorHAnsi"/>
          <w:sz w:val="22"/>
        </w:rPr>
        <w:lastRenderedPageBreak/>
        <w:t>Sulla distribuzione dell</w:t>
      </w:r>
      <w:r w:rsidR="0068237F">
        <w:rPr>
          <w:rFonts w:asciiTheme="minorHAnsi" w:eastAsia="Calibri" w:hAnsiTheme="minorHAnsi" w:cstheme="minorHAnsi"/>
          <w:sz w:val="22"/>
        </w:rPr>
        <w:t>e intenzioni di acquisto</w:t>
      </w:r>
      <w:r w:rsidRPr="00B057C6">
        <w:rPr>
          <w:rFonts w:asciiTheme="minorHAnsi" w:eastAsia="Calibri" w:hAnsiTheme="minorHAnsi" w:cstheme="minorHAnsi"/>
          <w:sz w:val="22"/>
        </w:rPr>
        <w:t xml:space="preserve"> tra italiani e stranieri, nel complesso la domanda </w:t>
      </w:r>
      <w:r w:rsidR="0068237F">
        <w:rPr>
          <w:rFonts w:asciiTheme="minorHAnsi" w:eastAsia="Calibri" w:hAnsiTheme="minorHAnsi" w:cstheme="minorHAnsi"/>
          <w:sz w:val="22"/>
        </w:rPr>
        <w:t>di abitazioni per vacanza</w:t>
      </w:r>
      <w:r w:rsidRPr="00B057C6">
        <w:rPr>
          <w:rFonts w:asciiTheme="minorHAnsi" w:eastAsia="Calibri" w:hAnsiTheme="minorHAnsi" w:cstheme="minorHAnsi"/>
          <w:sz w:val="22"/>
        </w:rPr>
        <w:t xml:space="preserve"> proviene da italiani nell’8</w:t>
      </w:r>
      <w:r w:rsidR="00B057C6" w:rsidRPr="00B057C6">
        <w:rPr>
          <w:rFonts w:asciiTheme="minorHAnsi" w:eastAsia="Calibri" w:hAnsiTheme="minorHAnsi" w:cstheme="minorHAnsi"/>
          <w:sz w:val="22"/>
        </w:rPr>
        <w:t>0</w:t>
      </w:r>
      <w:r w:rsidRPr="00B057C6">
        <w:rPr>
          <w:rFonts w:asciiTheme="minorHAnsi" w:eastAsia="Calibri" w:hAnsiTheme="minorHAnsi" w:cstheme="minorHAnsi"/>
          <w:sz w:val="22"/>
        </w:rPr>
        <w:t xml:space="preserve">% dei </w:t>
      </w:r>
      <w:r w:rsidR="00B057C6" w:rsidRPr="00B057C6">
        <w:rPr>
          <w:rFonts w:asciiTheme="minorHAnsi" w:eastAsia="Calibri" w:hAnsiTheme="minorHAnsi" w:cstheme="minorHAnsi"/>
          <w:sz w:val="22"/>
        </w:rPr>
        <w:t xml:space="preserve">casi, </w:t>
      </w:r>
      <w:r w:rsidR="00B53EB9">
        <w:rPr>
          <w:rFonts w:asciiTheme="minorHAnsi" w:eastAsia="Calibri" w:hAnsiTheme="minorHAnsi" w:cstheme="minorHAnsi"/>
          <w:sz w:val="22"/>
        </w:rPr>
        <w:t>mentre</w:t>
      </w:r>
      <w:r w:rsidR="00325A69">
        <w:rPr>
          <w:rFonts w:asciiTheme="minorHAnsi" w:eastAsia="Calibri" w:hAnsiTheme="minorHAnsi" w:cstheme="minorHAnsi"/>
          <w:sz w:val="22"/>
        </w:rPr>
        <w:t xml:space="preserve"> </w:t>
      </w:r>
      <w:r w:rsidR="00F90D56">
        <w:rPr>
          <w:rFonts w:asciiTheme="minorHAnsi" w:eastAsia="Calibri" w:hAnsiTheme="minorHAnsi" w:cstheme="minorHAnsi"/>
          <w:sz w:val="22"/>
        </w:rPr>
        <w:t xml:space="preserve">per </w:t>
      </w:r>
      <w:r w:rsidR="0068237F">
        <w:rPr>
          <w:rFonts w:asciiTheme="minorHAnsi" w:eastAsia="Calibri" w:hAnsiTheme="minorHAnsi" w:cstheme="minorHAnsi"/>
          <w:sz w:val="22"/>
        </w:rPr>
        <w:t xml:space="preserve">il </w:t>
      </w:r>
      <w:r w:rsidR="00B53EB9">
        <w:rPr>
          <w:rFonts w:asciiTheme="minorHAnsi" w:eastAsia="Calibri" w:hAnsiTheme="minorHAnsi" w:cstheme="minorHAnsi"/>
          <w:sz w:val="22"/>
        </w:rPr>
        <w:t xml:space="preserve">20% </w:t>
      </w:r>
      <w:r w:rsidR="0068237F">
        <w:rPr>
          <w:rFonts w:asciiTheme="minorHAnsi" w:eastAsia="Calibri" w:hAnsiTheme="minorHAnsi" w:cstheme="minorHAnsi"/>
          <w:sz w:val="22"/>
        </w:rPr>
        <w:t>risulta</w:t>
      </w:r>
      <w:r w:rsidR="00B53EB9">
        <w:rPr>
          <w:rFonts w:asciiTheme="minorHAnsi" w:eastAsia="Calibri" w:hAnsiTheme="minorHAnsi" w:cstheme="minorHAnsi"/>
          <w:sz w:val="22"/>
        </w:rPr>
        <w:t xml:space="preserve"> alimentat</w:t>
      </w:r>
      <w:r w:rsidR="00325A69">
        <w:rPr>
          <w:rFonts w:asciiTheme="minorHAnsi" w:eastAsia="Calibri" w:hAnsiTheme="minorHAnsi" w:cstheme="minorHAnsi"/>
          <w:sz w:val="22"/>
        </w:rPr>
        <w:t>a</w:t>
      </w:r>
      <w:r w:rsidR="00623961">
        <w:rPr>
          <w:rFonts w:asciiTheme="minorHAnsi" w:eastAsia="Calibri" w:hAnsiTheme="minorHAnsi" w:cstheme="minorHAnsi"/>
          <w:sz w:val="22"/>
        </w:rPr>
        <w:t xml:space="preserve"> da </w:t>
      </w:r>
      <w:r w:rsidR="0068237F">
        <w:rPr>
          <w:rFonts w:asciiTheme="minorHAnsi" w:eastAsia="Calibri" w:hAnsiTheme="minorHAnsi" w:cstheme="minorHAnsi"/>
          <w:sz w:val="22"/>
        </w:rPr>
        <w:t xml:space="preserve">soggetti </w:t>
      </w:r>
      <w:r w:rsidR="00623961">
        <w:rPr>
          <w:rFonts w:asciiTheme="minorHAnsi" w:eastAsia="Calibri" w:hAnsiTheme="minorHAnsi" w:cstheme="minorHAnsi"/>
          <w:sz w:val="22"/>
        </w:rPr>
        <w:t xml:space="preserve">stranieri (si segnala che tale </w:t>
      </w:r>
      <w:r w:rsidR="0068237F">
        <w:rPr>
          <w:rFonts w:asciiTheme="minorHAnsi" w:eastAsia="Calibri" w:hAnsiTheme="minorHAnsi" w:cstheme="minorHAnsi"/>
          <w:sz w:val="22"/>
        </w:rPr>
        <w:t>incidenza</w:t>
      </w:r>
      <w:r w:rsidR="00623961">
        <w:rPr>
          <w:rFonts w:asciiTheme="minorHAnsi" w:eastAsia="Calibri" w:hAnsiTheme="minorHAnsi" w:cstheme="minorHAnsi"/>
          <w:sz w:val="22"/>
        </w:rPr>
        <w:t xml:space="preserve"> è cre</w:t>
      </w:r>
      <w:r w:rsidR="00B53EB9">
        <w:rPr>
          <w:rFonts w:asciiTheme="minorHAnsi" w:eastAsia="Calibri" w:hAnsiTheme="minorHAnsi" w:cstheme="minorHAnsi"/>
          <w:sz w:val="22"/>
        </w:rPr>
        <w:t>s</w:t>
      </w:r>
      <w:r w:rsidR="00623961">
        <w:rPr>
          <w:rFonts w:asciiTheme="minorHAnsi" w:eastAsia="Calibri" w:hAnsiTheme="minorHAnsi" w:cstheme="minorHAnsi"/>
          <w:sz w:val="22"/>
        </w:rPr>
        <w:t>ciuta di 5 punti rispetto al</w:t>
      </w:r>
      <w:r w:rsidR="0068237F">
        <w:rPr>
          <w:rFonts w:asciiTheme="minorHAnsi" w:eastAsia="Calibri" w:hAnsiTheme="minorHAnsi" w:cstheme="minorHAnsi"/>
          <w:sz w:val="22"/>
        </w:rPr>
        <w:t>l’anno</w:t>
      </w:r>
      <w:r w:rsidR="00623961">
        <w:rPr>
          <w:rFonts w:asciiTheme="minorHAnsi" w:eastAsia="Calibri" w:hAnsiTheme="minorHAnsi" w:cstheme="minorHAnsi"/>
          <w:sz w:val="22"/>
        </w:rPr>
        <w:t xml:space="preserve"> pr</w:t>
      </w:r>
      <w:r w:rsidR="00B53EB9">
        <w:rPr>
          <w:rFonts w:asciiTheme="minorHAnsi" w:eastAsia="Calibri" w:hAnsiTheme="minorHAnsi" w:cstheme="minorHAnsi"/>
          <w:sz w:val="22"/>
        </w:rPr>
        <w:t>e</w:t>
      </w:r>
      <w:r w:rsidR="00623961">
        <w:rPr>
          <w:rFonts w:asciiTheme="minorHAnsi" w:eastAsia="Calibri" w:hAnsiTheme="minorHAnsi" w:cstheme="minorHAnsi"/>
          <w:sz w:val="22"/>
        </w:rPr>
        <w:t>ced</w:t>
      </w:r>
      <w:r w:rsidR="00B53EB9">
        <w:rPr>
          <w:rFonts w:asciiTheme="minorHAnsi" w:eastAsia="Calibri" w:hAnsiTheme="minorHAnsi" w:cstheme="minorHAnsi"/>
          <w:sz w:val="22"/>
        </w:rPr>
        <w:t>e</w:t>
      </w:r>
      <w:r w:rsidR="00623961">
        <w:rPr>
          <w:rFonts w:asciiTheme="minorHAnsi" w:eastAsia="Calibri" w:hAnsiTheme="minorHAnsi" w:cstheme="minorHAnsi"/>
          <w:sz w:val="22"/>
        </w:rPr>
        <w:t>nte).</w:t>
      </w:r>
    </w:p>
    <w:p w:rsidR="00592D6A" w:rsidRDefault="00623961" w:rsidP="00486B1F">
      <w:pPr>
        <w:rPr>
          <w:rFonts w:asciiTheme="minorHAnsi" w:eastAsia="Calibri" w:hAnsiTheme="minorHAnsi" w:cstheme="minorHAnsi"/>
          <w:sz w:val="22"/>
        </w:rPr>
      </w:pPr>
      <w:r>
        <w:rPr>
          <w:rFonts w:asciiTheme="minorHAnsi" w:eastAsia="Calibri" w:hAnsiTheme="minorHAnsi" w:cstheme="minorHAnsi"/>
          <w:sz w:val="22"/>
        </w:rPr>
        <w:t>Per quant</w:t>
      </w:r>
      <w:r w:rsidR="00B53EB9">
        <w:rPr>
          <w:rFonts w:asciiTheme="minorHAnsi" w:eastAsia="Calibri" w:hAnsiTheme="minorHAnsi" w:cstheme="minorHAnsi"/>
          <w:sz w:val="22"/>
        </w:rPr>
        <w:t>a riguarda la locazione, la dom</w:t>
      </w:r>
      <w:r>
        <w:rPr>
          <w:rFonts w:asciiTheme="minorHAnsi" w:eastAsia="Calibri" w:hAnsiTheme="minorHAnsi" w:cstheme="minorHAnsi"/>
          <w:sz w:val="22"/>
        </w:rPr>
        <w:t>anda</w:t>
      </w:r>
      <w:r w:rsidR="00B53EB9">
        <w:rPr>
          <w:rFonts w:asciiTheme="minorHAnsi" w:eastAsia="Calibri" w:hAnsiTheme="minorHAnsi" w:cstheme="minorHAnsi"/>
          <w:sz w:val="22"/>
        </w:rPr>
        <w:t xml:space="preserve"> d</w:t>
      </w:r>
      <w:r w:rsidR="00C226E9">
        <w:rPr>
          <w:rFonts w:asciiTheme="minorHAnsi" w:eastAsia="Calibri" w:hAnsiTheme="minorHAnsi" w:cstheme="minorHAnsi"/>
          <w:sz w:val="22"/>
        </w:rPr>
        <w:t>e</w:t>
      </w:r>
      <w:r w:rsidR="00B53EB9">
        <w:rPr>
          <w:rFonts w:asciiTheme="minorHAnsi" w:eastAsia="Calibri" w:hAnsiTheme="minorHAnsi" w:cstheme="minorHAnsi"/>
          <w:sz w:val="22"/>
        </w:rPr>
        <w:t>lla componente</w:t>
      </w:r>
      <w:r>
        <w:rPr>
          <w:rFonts w:asciiTheme="minorHAnsi" w:eastAsia="Calibri" w:hAnsiTheme="minorHAnsi" w:cstheme="minorHAnsi"/>
          <w:sz w:val="22"/>
        </w:rPr>
        <w:t xml:space="preserve"> italiana </w:t>
      </w:r>
      <w:r w:rsidR="00B057C6" w:rsidRPr="00B057C6">
        <w:rPr>
          <w:rFonts w:asciiTheme="minorHAnsi" w:eastAsia="Calibri" w:hAnsiTheme="minorHAnsi" w:cstheme="minorHAnsi"/>
          <w:sz w:val="22"/>
        </w:rPr>
        <w:t xml:space="preserve">scende al </w:t>
      </w:r>
      <w:r w:rsidR="00486B1F" w:rsidRPr="00B057C6">
        <w:rPr>
          <w:rFonts w:asciiTheme="minorHAnsi" w:eastAsia="Calibri" w:hAnsiTheme="minorHAnsi" w:cstheme="minorHAnsi"/>
          <w:sz w:val="22"/>
        </w:rPr>
        <w:t>7</w:t>
      </w:r>
      <w:r w:rsidR="00B057C6" w:rsidRPr="00B057C6">
        <w:rPr>
          <w:rFonts w:asciiTheme="minorHAnsi" w:eastAsia="Calibri" w:hAnsiTheme="minorHAnsi" w:cstheme="minorHAnsi"/>
          <w:sz w:val="22"/>
        </w:rPr>
        <w:t>4</w:t>
      </w:r>
      <w:r w:rsidR="00893C10">
        <w:rPr>
          <w:rFonts w:asciiTheme="minorHAnsi" w:eastAsia="Calibri" w:hAnsiTheme="minorHAnsi" w:cstheme="minorHAnsi"/>
          <w:sz w:val="22"/>
        </w:rPr>
        <w:t>%.</w:t>
      </w:r>
    </w:p>
    <w:p w:rsidR="00486B1F" w:rsidRPr="00486B1F" w:rsidRDefault="00486B1F" w:rsidP="00486B1F">
      <w:pPr>
        <w:rPr>
          <w:rFonts w:asciiTheme="minorHAnsi" w:eastAsia="Calibri" w:hAnsiTheme="minorHAnsi" w:cstheme="minorHAnsi"/>
          <w:szCs w:val="22"/>
        </w:rPr>
      </w:pPr>
    </w:p>
    <w:p w:rsidR="002D78BD" w:rsidRDefault="00575691" w:rsidP="006C6E61">
      <w:pPr>
        <w:shd w:val="clear" w:color="auto" w:fill="D9D9D9" w:themeFill="background1" w:themeFillShade="D9"/>
        <w:jc w:val="center"/>
        <w:rPr>
          <w:rFonts w:asciiTheme="minorHAnsi" w:eastAsia="Calibri" w:hAnsiTheme="minorHAnsi" w:cstheme="minorHAnsi"/>
          <w:color w:val="1F497D" w:themeColor="text2"/>
          <w:sz w:val="32"/>
          <w:szCs w:val="32"/>
        </w:rPr>
      </w:pPr>
      <w:r w:rsidRPr="00575691">
        <w:rPr>
          <w:rFonts w:asciiTheme="minorHAnsi" w:eastAsia="Calibri" w:hAnsiTheme="minorHAnsi" w:cstheme="minorHAnsi"/>
          <w:color w:val="1F497D" w:themeColor="text2"/>
          <w:sz w:val="32"/>
          <w:szCs w:val="32"/>
        </w:rPr>
        <w:t>APPENDICE STATISTICA</w:t>
      </w:r>
    </w:p>
    <w:p w:rsidR="00575691" w:rsidRDefault="00575691" w:rsidP="00575691">
      <w:pPr>
        <w:jc w:val="left"/>
        <w:rPr>
          <w:rFonts w:asciiTheme="minorHAnsi" w:eastAsia="Calibri" w:hAnsiTheme="minorHAnsi" w:cstheme="minorHAnsi"/>
          <w:color w:val="1F497D" w:themeColor="text2"/>
          <w:sz w:val="22"/>
          <w:szCs w:val="22"/>
        </w:rPr>
      </w:pPr>
    </w:p>
    <w:p w:rsidR="00C61B0B" w:rsidRPr="003D3270" w:rsidRDefault="00C61B0B" w:rsidP="00575691">
      <w:pPr>
        <w:jc w:val="right"/>
        <w:rPr>
          <w:rFonts w:ascii="Calibri" w:hAnsi="Calibri" w:cs="Arial"/>
          <w:b/>
          <w:bCs/>
          <w:sz w:val="22"/>
          <w:szCs w:val="22"/>
        </w:rPr>
      </w:pPr>
    </w:p>
    <w:p w:rsidR="00575691" w:rsidRPr="003D3270" w:rsidRDefault="00575691" w:rsidP="007469F5">
      <w:pPr>
        <w:jc w:val="center"/>
        <w:rPr>
          <w:rFonts w:ascii="Calibri" w:hAnsi="Calibri" w:cs="Arial"/>
          <w:b/>
          <w:bCs/>
          <w:sz w:val="22"/>
          <w:szCs w:val="22"/>
        </w:rPr>
      </w:pPr>
      <w:r w:rsidRPr="003D3270">
        <w:rPr>
          <w:rFonts w:ascii="Calibri" w:hAnsi="Calibri" w:cs="Arial"/>
          <w:b/>
          <w:bCs/>
          <w:sz w:val="22"/>
          <w:szCs w:val="22"/>
        </w:rPr>
        <w:t xml:space="preserve">Tavola </w:t>
      </w:r>
      <w:r w:rsidR="00915F00" w:rsidRPr="003D3270">
        <w:rPr>
          <w:rFonts w:ascii="Calibri" w:hAnsi="Calibri" w:cs="Arial"/>
          <w:b/>
          <w:bCs/>
          <w:sz w:val="22"/>
          <w:szCs w:val="22"/>
        </w:rPr>
        <w:t>A</w:t>
      </w:r>
    </w:p>
    <w:p w:rsidR="00575691" w:rsidRPr="003D3270" w:rsidRDefault="00575691" w:rsidP="00575691">
      <w:pPr>
        <w:jc w:val="center"/>
        <w:rPr>
          <w:rFonts w:ascii="Calibri" w:hAnsi="Calibri" w:cs="Arial"/>
          <w:b/>
          <w:bCs/>
          <w:sz w:val="22"/>
          <w:szCs w:val="22"/>
        </w:rPr>
      </w:pPr>
    </w:p>
    <w:p w:rsidR="00575691" w:rsidRPr="00760BF0" w:rsidRDefault="00BB1615" w:rsidP="00760BF0">
      <w:pPr>
        <w:jc w:val="left"/>
        <w:rPr>
          <w:rFonts w:ascii="Calibri" w:hAnsi="Calibri" w:cs="Arial"/>
          <w:b/>
          <w:bCs/>
          <w:sz w:val="22"/>
          <w:szCs w:val="22"/>
        </w:rPr>
      </w:pPr>
      <w:r w:rsidRPr="00691109">
        <w:rPr>
          <w:rFonts w:ascii="Calibri" w:hAnsi="Calibri" w:cs="Arial"/>
          <w:b/>
          <w:bCs/>
          <w:sz w:val="22"/>
          <w:szCs w:val="22"/>
        </w:rPr>
        <w:t>Località che, rispetto al 201</w:t>
      </w:r>
      <w:r w:rsidR="0028773A" w:rsidRPr="00691109">
        <w:rPr>
          <w:rFonts w:ascii="Calibri" w:hAnsi="Calibri" w:cs="Arial"/>
          <w:b/>
          <w:bCs/>
          <w:sz w:val="22"/>
          <w:szCs w:val="22"/>
        </w:rPr>
        <w:t>6</w:t>
      </w:r>
      <w:r w:rsidRPr="00691109">
        <w:rPr>
          <w:rFonts w:ascii="Calibri" w:hAnsi="Calibri" w:cs="Arial"/>
          <w:b/>
          <w:bCs/>
          <w:sz w:val="22"/>
          <w:szCs w:val="22"/>
        </w:rPr>
        <w:t xml:space="preserve">, hanno registrato </w:t>
      </w:r>
      <w:r w:rsidR="00760BF0">
        <w:rPr>
          <w:rFonts w:ascii="Calibri" w:hAnsi="Calibri" w:cs="Arial"/>
          <w:b/>
          <w:bCs/>
          <w:sz w:val="22"/>
          <w:szCs w:val="22"/>
        </w:rPr>
        <w:t>a</w:t>
      </w:r>
      <w:r w:rsidR="00760BF0" w:rsidRPr="00760BF0">
        <w:rPr>
          <w:rFonts w:ascii="Calibri" w:hAnsi="Calibri" w:cs="Arial"/>
          <w:b/>
          <w:bCs/>
          <w:sz w:val="22"/>
          <w:szCs w:val="22"/>
        </w:rPr>
        <w:t xml:space="preserve">ggiustamenti positivi </w:t>
      </w:r>
      <w:r w:rsidRPr="00691109">
        <w:rPr>
          <w:rFonts w:ascii="Calibri" w:hAnsi="Calibri" w:cs="Arial"/>
          <w:b/>
          <w:bCs/>
          <w:sz w:val="22"/>
          <w:szCs w:val="22"/>
        </w:rPr>
        <w:t>dei prezzi medi di compravendita</w:t>
      </w:r>
    </w:p>
    <w:p w:rsidR="00760BF0" w:rsidRDefault="00760BF0" w:rsidP="006C6E61">
      <w:pPr>
        <w:pStyle w:val="Default"/>
        <w:rPr>
          <w:b/>
          <w:bCs/>
          <w:color w:val="auto"/>
          <w:sz w:val="20"/>
          <w:szCs w:val="20"/>
        </w:rPr>
      </w:pPr>
    </w:p>
    <w:p w:rsidR="006C6E61" w:rsidRPr="004B735C" w:rsidRDefault="006C6E61" w:rsidP="006C6E61">
      <w:pPr>
        <w:pStyle w:val="Default"/>
        <w:rPr>
          <w:color w:val="auto"/>
          <w:sz w:val="20"/>
          <w:szCs w:val="20"/>
        </w:rPr>
      </w:pPr>
      <w:r w:rsidRPr="004B735C">
        <w:rPr>
          <w:b/>
          <w:bCs/>
          <w:color w:val="auto"/>
          <w:sz w:val="20"/>
          <w:szCs w:val="20"/>
        </w:rPr>
        <w:t>Località di mare</w:t>
      </w:r>
    </w:p>
    <w:p w:rsidR="0028773A" w:rsidRPr="004B735C" w:rsidRDefault="006C6E61" w:rsidP="00760BF0">
      <w:pPr>
        <w:pStyle w:val="Default"/>
        <w:rPr>
          <w:color w:val="auto"/>
          <w:sz w:val="20"/>
          <w:szCs w:val="20"/>
        </w:rPr>
      </w:pPr>
      <w:r w:rsidRPr="004B735C">
        <w:rPr>
          <w:color w:val="auto"/>
          <w:sz w:val="20"/>
          <w:szCs w:val="20"/>
        </w:rPr>
        <w:t xml:space="preserve">Amalfi (SA): </w:t>
      </w:r>
      <w:r w:rsidR="00760BF0">
        <w:rPr>
          <w:color w:val="auto"/>
          <w:sz w:val="20"/>
          <w:szCs w:val="20"/>
        </w:rPr>
        <w:t>+</w:t>
      </w:r>
      <w:r w:rsidR="0028773A" w:rsidRPr="004B735C">
        <w:rPr>
          <w:color w:val="auto"/>
          <w:sz w:val="20"/>
          <w:szCs w:val="20"/>
        </w:rPr>
        <w:t>3,6</w:t>
      </w:r>
      <w:r w:rsidRPr="004B735C">
        <w:rPr>
          <w:color w:val="auto"/>
          <w:sz w:val="20"/>
          <w:szCs w:val="20"/>
        </w:rPr>
        <w:t>%</w:t>
      </w:r>
      <w:r w:rsidR="00760BF0">
        <w:rPr>
          <w:color w:val="auto"/>
          <w:sz w:val="20"/>
          <w:szCs w:val="20"/>
        </w:rPr>
        <w:t xml:space="preserve"> </w:t>
      </w:r>
      <w:r w:rsidRPr="004B735C">
        <w:rPr>
          <w:color w:val="auto"/>
          <w:sz w:val="20"/>
          <w:szCs w:val="20"/>
        </w:rPr>
        <w:t xml:space="preserve"> </w:t>
      </w:r>
      <w:r w:rsidR="00760BF0" w:rsidRPr="004B735C">
        <w:rPr>
          <w:color w:val="auto"/>
          <w:sz w:val="20"/>
          <w:szCs w:val="20"/>
        </w:rPr>
        <w:t>–</w:t>
      </w:r>
      <w:r w:rsidR="00760BF0">
        <w:rPr>
          <w:color w:val="auto"/>
          <w:sz w:val="20"/>
          <w:szCs w:val="20"/>
        </w:rPr>
        <w:t xml:space="preserve"> </w:t>
      </w:r>
      <w:r w:rsidRPr="004B735C">
        <w:rPr>
          <w:color w:val="auto"/>
          <w:sz w:val="20"/>
          <w:szCs w:val="20"/>
        </w:rPr>
        <w:t xml:space="preserve"> </w:t>
      </w:r>
      <w:r w:rsidR="00760BF0">
        <w:rPr>
          <w:color w:val="auto"/>
          <w:sz w:val="20"/>
          <w:szCs w:val="20"/>
        </w:rPr>
        <w:t>Diano Marina (IM): +</w:t>
      </w:r>
      <w:r w:rsidR="0028773A" w:rsidRPr="004B735C">
        <w:rPr>
          <w:color w:val="auto"/>
          <w:sz w:val="20"/>
          <w:szCs w:val="20"/>
        </w:rPr>
        <w:t>2,4%</w:t>
      </w:r>
      <w:r w:rsidR="00760BF0">
        <w:rPr>
          <w:color w:val="auto"/>
          <w:sz w:val="20"/>
          <w:szCs w:val="20"/>
        </w:rPr>
        <w:t xml:space="preserve">  –  Milazzo (ME): +</w:t>
      </w:r>
      <w:r w:rsidR="0028773A" w:rsidRPr="004B735C">
        <w:rPr>
          <w:color w:val="auto"/>
          <w:sz w:val="20"/>
          <w:szCs w:val="20"/>
        </w:rPr>
        <w:t>2,3%</w:t>
      </w:r>
      <w:r w:rsidR="00760BF0">
        <w:rPr>
          <w:color w:val="auto"/>
          <w:sz w:val="20"/>
          <w:szCs w:val="20"/>
        </w:rPr>
        <w:t xml:space="preserve"> </w:t>
      </w:r>
      <w:r w:rsidR="0028773A" w:rsidRPr="004B735C">
        <w:rPr>
          <w:color w:val="auto"/>
          <w:sz w:val="20"/>
          <w:szCs w:val="20"/>
        </w:rPr>
        <w:t xml:space="preserve"> </w:t>
      </w:r>
      <w:r w:rsidR="00760BF0" w:rsidRPr="004B735C">
        <w:rPr>
          <w:color w:val="auto"/>
          <w:sz w:val="20"/>
          <w:szCs w:val="20"/>
        </w:rPr>
        <w:t>–</w:t>
      </w:r>
      <w:r w:rsidR="0028773A" w:rsidRPr="004B735C">
        <w:rPr>
          <w:color w:val="auto"/>
          <w:sz w:val="20"/>
          <w:szCs w:val="20"/>
        </w:rPr>
        <w:t xml:space="preserve"> </w:t>
      </w:r>
      <w:r w:rsidR="00760BF0">
        <w:rPr>
          <w:color w:val="auto"/>
          <w:sz w:val="20"/>
          <w:szCs w:val="20"/>
        </w:rPr>
        <w:t xml:space="preserve"> </w:t>
      </w:r>
      <w:r w:rsidR="0028773A" w:rsidRPr="004B735C">
        <w:rPr>
          <w:color w:val="auto"/>
          <w:sz w:val="20"/>
          <w:szCs w:val="20"/>
        </w:rPr>
        <w:t xml:space="preserve">Arma di Taggia (IM): </w:t>
      </w:r>
      <w:r w:rsidR="00760BF0">
        <w:rPr>
          <w:color w:val="auto"/>
          <w:sz w:val="20"/>
          <w:szCs w:val="20"/>
        </w:rPr>
        <w:t>+1,5%</w:t>
      </w:r>
      <w:r w:rsidR="0028773A" w:rsidRPr="004B735C">
        <w:rPr>
          <w:color w:val="auto"/>
          <w:sz w:val="20"/>
          <w:szCs w:val="20"/>
        </w:rPr>
        <w:t xml:space="preserve"> </w:t>
      </w:r>
      <w:r w:rsidR="00760BF0">
        <w:rPr>
          <w:color w:val="auto"/>
          <w:sz w:val="20"/>
          <w:szCs w:val="20"/>
        </w:rPr>
        <w:t xml:space="preserve"> –</w:t>
      </w:r>
      <w:r w:rsidR="00760BF0">
        <w:rPr>
          <w:color w:val="auto"/>
          <w:sz w:val="20"/>
          <w:szCs w:val="20"/>
        </w:rPr>
        <w:br/>
      </w:r>
      <w:r w:rsidR="0028773A" w:rsidRPr="004B735C">
        <w:rPr>
          <w:color w:val="auto"/>
          <w:sz w:val="20"/>
          <w:szCs w:val="20"/>
        </w:rPr>
        <w:t xml:space="preserve">Anacapri (NA): </w:t>
      </w:r>
      <w:r w:rsidR="00760BF0">
        <w:rPr>
          <w:color w:val="auto"/>
          <w:sz w:val="20"/>
          <w:szCs w:val="20"/>
        </w:rPr>
        <w:t>+</w:t>
      </w:r>
      <w:r w:rsidR="0028773A" w:rsidRPr="004B735C">
        <w:rPr>
          <w:color w:val="auto"/>
          <w:sz w:val="20"/>
          <w:szCs w:val="20"/>
        </w:rPr>
        <w:t xml:space="preserve">1,2% </w:t>
      </w:r>
      <w:r w:rsidR="00760BF0">
        <w:rPr>
          <w:color w:val="auto"/>
          <w:sz w:val="20"/>
          <w:szCs w:val="20"/>
        </w:rPr>
        <w:t xml:space="preserve"> </w:t>
      </w:r>
      <w:r w:rsidR="00760BF0" w:rsidRPr="004B735C">
        <w:rPr>
          <w:color w:val="auto"/>
          <w:sz w:val="20"/>
          <w:szCs w:val="20"/>
        </w:rPr>
        <w:t>–</w:t>
      </w:r>
      <w:r w:rsidR="004B735C" w:rsidRPr="004B735C">
        <w:rPr>
          <w:color w:val="auto"/>
          <w:sz w:val="20"/>
          <w:szCs w:val="20"/>
        </w:rPr>
        <w:t xml:space="preserve"> </w:t>
      </w:r>
      <w:r w:rsidR="00760BF0">
        <w:rPr>
          <w:color w:val="auto"/>
          <w:sz w:val="20"/>
          <w:szCs w:val="20"/>
        </w:rPr>
        <w:t xml:space="preserve"> </w:t>
      </w:r>
      <w:r w:rsidR="004B735C" w:rsidRPr="004B735C">
        <w:rPr>
          <w:color w:val="auto"/>
          <w:sz w:val="20"/>
          <w:szCs w:val="20"/>
        </w:rPr>
        <w:t xml:space="preserve">Positano (SA): </w:t>
      </w:r>
      <w:r w:rsidR="00760BF0">
        <w:rPr>
          <w:color w:val="auto"/>
          <w:sz w:val="20"/>
          <w:szCs w:val="20"/>
        </w:rPr>
        <w:t>+</w:t>
      </w:r>
      <w:r w:rsidR="004B735C" w:rsidRPr="004B735C">
        <w:rPr>
          <w:color w:val="auto"/>
          <w:sz w:val="20"/>
          <w:szCs w:val="20"/>
        </w:rPr>
        <w:t>1</w:t>
      </w:r>
      <w:r w:rsidR="00760BF0">
        <w:rPr>
          <w:color w:val="auto"/>
          <w:sz w:val="20"/>
          <w:szCs w:val="20"/>
        </w:rPr>
        <w:t>,0</w:t>
      </w:r>
      <w:r w:rsidR="004B735C" w:rsidRPr="004B735C">
        <w:rPr>
          <w:color w:val="auto"/>
          <w:sz w:val="20"/>
          <w:szCs w:val="20"/>
        </w:rPr>
        <w:t xml:space="preserve">% </w:t>
      </w:r>
      <w:r w:rsidR="00760BF0">
        <w:rPr>
          <w:color w:val="auto"/>
          <w:sz w:val="20"/>
          <w:szCs w:val="20"/>
        </w:rPr>
        <w:t xml:space="preserve"> </w:t>
      </w:r>
      <w:r w:rsidR="00760BF0" w:rsidRPr="004B735C">
        <w:rPr>
          <w:color w:val="auto"/>
          <w:sz w:val="20"/>
          <w:szCs w:val="20"/>
        </w:rPr>
        <w:t>–</w:t>
      </w:r>
      <w:r w:rsidR="0028773A" w:rsidRPr="004B735C">
        <w:rPr>
          <w:color w:val="auto"/>
          <w:sz w:val="20"/>
          <w:szCs w:val="20"/>
        </w:rPr>
        <w:t xml:space="preserve"> </w:t>
      </w:r>
      <w:r w:rsidR="00760BF0">
        <w:rPr>
          <w:color w:val="auto"/>
          <w:sz w:val="20"/>
          <w:szCs w:val="20"/>
        </w:rPr>
        <w:t xml:space="preserve"> </w:t>
      </w:r>
      <w:r w:rsidR="0028773A" w:rsidRPr="004B735C">
        <w:rPr>
          <w:color w:val="auto"/>
          <w:sz w:val="20"/>
          <w:szCs w:val="20"/>
        </w:rPr>
        <w:t xml:space="preserve">Riva Ligure (IM): </w:t>
      </w:r>
      <w:r w:rsidR="00760BF0">
        <w:rPr>
          <w:color w:val="auto"/>
          <w:sz w:val="20"/>
          <w:szCs w:val="20"/>
        </w:rPr>
        <w:t>+</w:t>
      </w:r>
      <w:r w:rsidR="0028773A" w:rsidRPr="004B735C">
        <w:rPr>
          <w:color w:val="auto"/>
          <w:sz w:val="20"/>
          <w:szCs w:val="20"/>
        </w:rPr>
        <w:t>0,5%.</w:t>
      </w:r>
      <w:r w:rsidR="004B735C" w:rsidRPr="004B735C">
        <w:rPr>
          <w:color w:val="auto"/>
          <w:sz w:val="20"/>
          <w:szCs w:val="20"/>
        </w:rPr>
        <w:t xml:space="preserve"> </w:t>
      </w:r>
    </w:p>
    <w:p w:rsidR="00EB20F7" w:rsidRPr="004B735C" w:rsidRDefault="00EB20F7" w:rsidP="006C6E61">
      <w:pPr>
        <w:pStyle w:val="Default"/>
        <w:rPr>
          <w:b/>
          <w:bCs/>
          <w:color w:val="auto"/>
          <w:sz w:val="20"/>
          <w:szCs w:val="20"/>
        </w:rPr>
      </w:pPr>
    </w:p>
    <w:p w:rsidR="006C6E61" w:rsidRPr="004B735C" w:rsidRDefault="006C6E61" w:rsidP="006C6E61">
      <w:pPr>
        <w:pStyle w:val="Default"/>
        <w:rPr>
          <w:color w:val="auto"/>
          <w:sz w:val="20"/>
          <w:szCs w:val="20"/>
        </w:rPr>
      </w:pPr>
      <w:r w:rsidRPr="004B735C">
        <w:rPr>
          <w:b/>
          <w:bCs/>
          <w:color w:val="auto"/>
          <w:sz w:val="20"/>
          <w:szCs w:val="20"/>
        </w:rPr>
        <w:t>Località di montagna</w:t>
      </w:r>
    </w:p>
    <w:p w:rsidR="00753C86" w:rsidRDefault="00D61316" w:rsidP="006C6E61">
      <w:pPr>
        <w:pStyle w:val="Default"/>
        <w:rPr>
          <w:color w:val="auto"/>
          <w:sz w:val="20"/>
          <w:szCs w:val="20"/>
        </w:rPr>
      </w:pPr>
      <w:r w:rsidRPr="004B735C">
        <w:rPr>
          <w:color w:val="auto"/>
          <w:sz w:val="20"/>
          <w:szCs w:val="20"/>
        </w:rPr>
        <w:t xml:space="preserve">Lurisia (CN): </w:t>
      </w:r>
      <w:r w:rsidR="00760BF0">
        <w:rPr>
          <w:color w:val="auto"/>
          <w:sz w:val="20"/>
          <w:szCs w:val="20"/>
        </w:rPr>
        <w:t>+0,9%.</w:t>
      </w:r>
    </w:p>
    <w:p w:rsidR="00F335F2" w:rsidRDefault="00F335F2" w:rsidP="00575691">
      <w:pPr>
        <w:jc w:val="right"/>
        <w:rPr>
          <w:rFonts w:ascii="Calibri" w:hAnsi="Calibri" w:cs="Arial"/>
          <w:b/>
          <w:bCs/>
          <w:color w:val="000000"/>
          <w:sz w:val="22"/>
          <w:szCs w:val="22"/>
        </w:rPr>
      </w:pPr>
    </w:p>
    <w:p w:rsidR="00575691" w:rsidRPr="003D3270" w:rsidRDefault="00575691" w:rsidP="007469F5">
      <w:pPr>
        <w:jc w:val="center"/>
        <w:rPr>
          <w:rFonts w:ascii="Calibri" w:hAnsi="Calibri" w:cs="Arial"/>
          <w:b/>
          <w:bCs/>
          <w:sz w:val="22"/>
          <w:szCs w:val="22"/>
        </w:rPr>
      </w:pPr>
      <w:r w:rsidRPr="003D3270">
        <w:rPr>
          <w:rFonts w:ascii="Calibri" w:hAnsi="Calibri" w:cs="Arial"/>
          <w:b/>
          <w:bCs/>
          <w:sz w:val="22"/>
          <w:szCs w:val="22"/>
        </w:rPr>
        <w:t xml:space="preserve">Tavola </w:t>
      </w:r>
      <w:r w:rsidR="00915F00" w:rsidRPr="003D3270">
        <w:rPr>
          <w:rFonts w:ascii="Calibri" w:hAnsi="Calibri" w:cs="Arial"/>
          <w:b/>
          <w:bCs/>
          <w:sz w:val="22"/>
          <w:szCs w:val="22"/>
        </w:rPr>
        <w:t>B</w:t>
      </w:r>
    </w:p>
    <w:p w:rsidR="00575691" w:rsidRPr="003D3270" w:rsidRDefault="00575691" w:rsidP="00575691">
      <w:pPr>
        <w:jc w:val="center"/>
        <w:rPr>
          <w:rFonts w:ascii="Calibri" w:hAnsi="Calibri" w:cs="Arial"/>
          <w:bCs/>
          <w:sz w:val="22"/>
          <w:szCs w:val="22"/>
        </w:rPr>
      </w:pPr>
    </w:p>
    <w:p w:rsidR="00575691" w:rsidRPr="003D3270" w:rsidRDefault="00575691" w:rsidP="00575691">
      <w:pPr>
        <w:jc w:val="center"/>
        <w:rPr>
          <w:rFonts w:ascii="Calibri" w:hAnsi="Calibri" w:cs="Arial"/>
          <w:bCs/>
          <w:i/>
          <w:sz w:val="22"/>
          <w:szCs w:val="22"/>
        </w:rPr>
      </w:pPr>
      <w:r w:rsidRPr="003D3270">
        <w:rPr>
          <w:rFonts w:ascii="Calibri" w:hAnsi="Calibri" w:cs="Arial"/>
          <w:b/>
          <w:bCs/>
          <w:sz w:val="22"/>
          <w:szCs w:val="22"/>
        </w:rPr>
        <w:t>Variazioni percentuali annuali (201</w:t>
      </w:r>
      <w:r w:rsidR="00E44897">
        <w:rPr>
          <w:rFonts w:ascii="Calibri" w:hAnsi="Calibri" w:cs="Arial"/>
          <w:b/>
          <w:bCs/>
          <w:sz w:val="22"/>
          <w:szCs w:val="22"/>
        </w:rPr>
        <w:t>7</w:t>
      </w:r>
      <w:r w:rsidRPr="003D3270">
        <w:rPr>
          <w:rFonts w:ascii="Calibri" w:hAnsi="Calibri" w:cs="Arial"/>
          <w:b/>
          <w:bCs/>
          <w:sz w:val="22"/>
          <w:szCs w:val="22"/>
        </w:rPr>
        <w:t>/201</w:t>
      </w:r>
      <w:r w:rsidR="00E44897">
        <w:rPr>
          <w:rFonts w:ascii="Calibri" w:hAnsi="Calibri" w:cs="Arial"/>
          <w:b/>
          <w:bCs/>
          <w:sz w:val="22"/>
          <w:szCs w:val="22"/>
        </w:rPr>
        <w:t>6</w:t>
      </w:r>
      <w:r w:rsidRPr="003D3270">
        <w:rPr>
          <w:rFonts w:ascii="Calibri" w:hAnsi="Calibri" w:cs="Arial"/>
          <w:b/>
          <w:bCs/>
          <w:sz w:val="22"/>
          <w:szCs w:val="22"/>
        </w:rPr>
        <w:t xml:space="preserve">) nominali dei </w:t>
      </w:r>
      <w:r w:rsidR="00167778" w:rsidRPr="003D3270">
        <w:rPr>
          <w:rFonts w:ascii="Calibri" w:hAnsi="Calibri" w:cs="Arial"/>
          <w:b/>
          <w:bCs/>
          <w:sz w:val="22"/>
          <w:szCs w:val="22"/>
        </w:rPr>
        <w:t>prezzi medi di compravendita di</w:t>
      </w:r>
      <w:r w:rsidR="00167778" w:rsidRPr="003D3270">
        <w:rPr>
          <w:rFonts w:ascii="Calibri" w:hAnsi="Calibri" w:cs="Arial"/>
          <w:b/>
          <w:bCs/>
          <w:sz w:val="22"/>
          <w:szCs w:val="22"/>
        </w:rPr>
        <w:br/>
      </w:r>
      <w:r w:rsidRPr="003D3270">
        <w:rPr>
          <w:rFonts w:ascii="Calibri" w:hAnsi="Calibri" w:cs="Arial"/>
          <w:b/>
          <w:bCs/>
          <w:sz w:val="22"/>
          <w:szCs w:val="22"/>
        </w:rPr>
        <w:t xml:space="preserve">appartamenti nelle principali località turistiche italiane, per Regione </w:t>
      </w:r>
      <w:r w:rsidRPr="003D3270">
        <w:rPr>
          <w:rFonts w:ascii="Calibri" w:hAnsi="Calibri" w:cs="Arial"/>
          <w:bCs/>
          <w:i/>
          <w:sz w:val="22"/>
          <w:szCs w:val="22"/>
        </w:rPr>
        <w:t xml:space="preserve">(valori </w:t>
      </w:r>
      <w:r w:rsidR="002D3762" w:rsidRPr="003D3270">
        <w:rPr>
          <w:rFonts w:ascii="Calibri" w:hAnsi="Calibri" w:cs="Arial"/>
          <w:bCs/>
          <w:i/>
          <w:sz w:val="22"/>
          <w:szCs w:val="22"/>
        </w:rPr>
        <w:t>%</w:t>
      </w:r>
      <w:r w:rsidRPr="003D3270">
        <w:rPr>
          <w:rFonts w:ascii="Calibri" w:hAnsi="Calibri" w:cs="Arial"/>
          <w:bCs/>
          <w:i/>
          <w:sz w:val="22"/>
          <w:szCs w:val="22"/>
        </w:rPr>
        <w:t>)</w:t>
      </w:r>
    </w:p>
    <w:p w:rsidR="00575691" w:rsidRPr="008D2F7D" w:rsidRDefault="00575691" w:rsidP="00575691">
      <w:pPr>
        <w:autoSpaceDE w:val="0"/>
        <w:autoSpaceDN w:val="0"/>
        <w:adjustRightInd w:val="0"/>
        <w:jc w:val="center"/>
        <w:rPr>
          <w:rFonts w:ascii="Calibri" w:hAnsi="Calibri" w:cs="Calibri"/>
          <w:sz w:val="16"/>
          <w:szCs w:val="22"/>
        </w:rPr>
      </w:pPr>
    </w:p>
    <w:tbl>
      <w:tblPr>
        <w:tblW w:w="0" w:type="auto"/>
        <w:jc w:val="center"/>
        <w:tblBorders>
          <w:top w:val="nil"/>
          <w:left w:val="nil"/>
          <w:bottom w:val="nil"/>
          <w:right w:val="nil"/>
        </w:tblBorders>
        <w:tblLayout w:type="fixed"/>
        <w:tblLook w:val="0000" w:firstRow="0" w:lastRow="0" w:firstColumn="0" w:lastColumn="0" w:noHBand="0" w:noVBand="0"/>
      </w:tblPr>
      <w:tblGrid>
        <w:gridCol w:w="2717"/>
        <w:gridCol w:w="2821"/>
        <w:gridCol w:w="2822"/>
      </w:tblGrid>
      <w:tr w:rsidR="008D2F7D" w:rsidRPr="008D2F7D" w:rsidTr="002D3762">
        <w:trPr>
          <w:trHeight w:val="283"/>
          <w:jc w:val="center"/>
        </w:trPr>
        <w:tc>
          <w:tcPr>
            <w:tcW w:w="2717" w:type="dxa"/>
            <w:tcBorders>
              <w:top w:val="single" w:sz="8" w:space="0" w:color="auto"/>
              <w:left w:val="nil"/>
              <w:bottom w:val="single" w:sz="8" w:space="0" w:color="auto"/>
            </w:tcBorders>
            <w:shd w:val="clear" w:color="auto" w:fill="D9D9D9" w:themeFill="background1" w:themeFillShade="D9"/>
            <w:vAlign w:val="center"/>
          </w:tcPr>
          <w:p w:rsidR="00575691" w:rsidRPr="008D2F7D" w:rsidRDefault="00575691" w:rsidP="00575691">
            <w:pPr>
              <w:autoSpaceDE w:val="0"/>
              <w:autoSpaceDN w:val="0"/>
              <w:adjustRightInd w:val="0"/>
              <w:jc w:val="left"/>
              <w:rPr>
                <w:rFonts w:asciiTheme="minorHAnsi" w:hAnsiTheme="minorHAnsi" w:cstheme="minorHAnsi"/>
                <w:sz w:val="20"/>
              </w:rPr>
            </w:pPr>
            <w:r w:rsidRPr="008D2F7D">
              <w:rPr>
                <w:rFonts w:asciiTheme="minorHAnsi" w:hAnsiTheme="minorHAnsi" w:cstheme="minorHAnsi"/>
                <w:b/>
                <w:bCs/>
                <w:sz w:val="20"/>
              </w:rPr>
              <w:t>Regione</w:t>
            </w:r>
          </w:p>
        </w:tc>
        <w:tc>
          <w:tcPr>
            <w:tcW w:w="2821" w:type="dxa"/>
            <w:tcBorders>
              <w:top w:val="single" w:sz="8" w:space="0" w:color="auto"/>
              <w:bottom w:val="single" w:sz="8" w:space="0" w:color="auto"/>
            </w:tcBorders>
            <w:shd w:val="clear" w:color="auto" w:fill="D9D9D9" w:themeFill="background1" w:themeFillShade="D9"/>
            <w:vAlign w:val="center"/>
          </w:tcPr>
          <w:p w:rsidR="00575691" w:rsidRPr="008D2F7D" w:rsidRDefault="00575691" w:rsidP="008D2F7D">
            <w:pPr>
              <w:autoSpaceDE w:val="0"/>
              <w:autoSpaceDN w:val="0"/>
              <w:adjustRightInd w:val="0"/>
              <w:jc w:val="center"/>
              <w:rPr>
                <w:rFonts w:asciiTheme="minorHAnsi" w:hAnsiTheme="minorHAnsi" w:cstheme="minorHAnsi"/>
                <w:sz w:val="20"/>
              </w:rPr>
            </w:pPr>
            <w:r w:rsidRPr="008D2F7D">
              <w:rPr>
                <w:rFonts w:asciiTheme="minorHAnsi" w:hAnsiTheme="minorHAnsi" w:cstheme="minorHAnsi"/>
                <w:b/>
                <w:bCs/>
                <w:sz w:val="20"/>
              </w:rPr>
              <w:t xml:space="preserve">Località </w:t>
            </w:r>
            <w:r w:rsidR="008D2F7D" w:rsidRPr="008D2F7D">
              <w:rPr>
                <w:rFonts w:asciiTheme="minorHAnsi" w:hAnsiTheme="minorHAnsi" w:cstheme="minorHAnsi"/>
                <w:b/>
                <w:bCs/>
                <w:sz w:val="20"/>
              </w:rPr>
              <w:t>marine</w:t>
            </w:r>
          </w:p>
        </w:tc>
        <w:tc>
          <w:tcPr>
            <w:tcW w:w="2822" w:type="dxa"/>
            <w:tcBorders>
              <w:top w:val="single" w:sz="8" w:space="0" w:color="auto"/>
              <w:bottom w:val="single" w:sz="8" w:space="0" w:color="auto"/>
              <w:right w:val="nil"/>
            </w:tcBorders>
            <w:shd w:val="clear" w:color="auto" w:fill="D9D9D9" w:themeFill="background1" w:themeFillShade="D9"/>
            <w:vAlign w:val="center"/>
          </w:tcPr>
          <w:p w:rsidR="00575691" w:rsidRPr="008D2F7D" w:rsidRDefault="00575691" w:rsidP="008D2F7D">
            <w:pPr>
              <w:autoSpaceDE w:val="0"/>
              <w:autoSpaceDN w:val="0"/>
              <w:adjustRightInd w:val="0"/>
              <w:jc w:val="center"/>
              <w:rPr>
                <w:rFonts w:asciiTheme="minorHAnsi" w:hAnsiTheme="minorHAnsi" w:cstheme="minorHAnsi"/>
                <w:sz w:val="20"/>
              </w:rPr>
            </w:pPr>
            <w:r w:rsidRPr="008D2F7D">
              <w:rPr>
                <w:rFonts w:asciiTheme="minorHAnsi" w:hAnsiTheme="minorHAnsi" w:cstheme="minorHAnsi"/>
                <w:b/>
                <w:bCs/>
                <w:sz w:val="20"/>
              </w:rPr>
              <w:t xml:space="preserve">Località montane </w:t>
            </w:r>
            <w:r w:rsidR="008D2F7D" w:rsidRPr="008D2F7D">
              <w:rPr>
                <w:rFonts w:asciiTheme="minorHAnsi" w:hAnsiTheme="minorHAnsi" w:cstheme="minorHAnsi"/>
                <w:b/>
                <w:bCs/>
                <w:sz w:val="20"/>
              </w:rPr>
              <w:t>o</w:t>
            </w:r>
            <w:r w:rsidRPr="008D2F7D">
              <w:rPr>
                <w:rFonts w:asciiTheme="minorHAnsi" w:hAnsiTheme="minorHAnsi" w:cstheme="minorHAnsi"/>
                <w:b/>
                <w:bCs/>
                <w:sz w:val="20"/>
              </w:rPr>
              <w:t xml:space="preserve"> lacuali</w:t>
            </w:r>
          </w:p>
        </w:tc>
      </w:tr>
      <w:tr w:rsidR="00E44897" w:rsidRPr="008D2F7D" w:rsidTr="00575691">
        <w:trPr>
          <w:trHeight w:val="283"/>
          <w:jc w:val="center"/>
        </w:trPr>
        <w:tc>
          <w:tcPr>
            <w:tcW w:w="2717" w:type="dxa"/>
            <w:tcBorders>
              <w:top w:val="single" w:sz="8" w:space="0" w:color="auto"/>
            </w:tcBorders>
            <w:vAlign w:val="center"/>
          </w:tcPr>
          <w:p w:rsidR="00E44897" w:rsidRPr="008D2F7D" w:rsidRDefault="00E44897" w:rsidP="00E44897">
            <w:pPr>
              <w:jc w:val="left"/>
              <w:rPr>
                <w:rFonts w:asciiTheme="minorHAnsi" w:hAnsiTheme="minorHAnsi" w:cstheme="minorHAnsi"/>
                <w:sz w:val="20"/>
              </w:rPr>
            </w:pPr>
            <w:r w:rsidRPr="008D2F7D">
              <w:rPr>
                <w:rFonts w:asciiTheme="minorHAnsi" w:hAnsiTheme="minorHAnsi" w:cstheme="minorHAnsi"/>
                <w:sz w:val="20"/>
              </w:rPr>
              <w:t>Abruzzo</w:t>
            </w:r>
          </w:p>
        </w:tc>
        <w:tc>
          <w:tcPr>
            <w:tcW w:w="2821" w:type="dxa"/>
            <w:tcBorders>
              <w:top w:val="single" w:sz="8" w:space="0" w:color="auto"/>
            </w:tcBorders>
            <w:vAlign w:val="center"/>
          </w:tcPr>
          <w:p w:rsidR="00E44897" w:rsidRDefault="00E44897" w:rsidP="00E44897">
            <w:pPr>
              <w:jc w:val="center"/>
              <w:rPr>
                <w:rFonts w:ascii="Calibri" w:hAnsi="Calibri" w:cs="Arial"/>
                <w:sz w:val="20"/>
              </w:rPr>
            </w:pPr>
            <w:r>
              <w:rPr>
                <w:rFonts w:ascii="Calibri" w:hAnsi="Calibri" w:cs="Arial"/>
                <w:sz w:val="20"/>
              </w:rPr>
              <w:t>-3,2</w:t>
            </w:r>
          </w:p>
        </w:tc>
        <w:tc>
          <w:tcPr>
            <w:tcW w:w="2822" w:type="dxa"/>
            <w:tcBorders>
              <w:top w:val="single" w:sz="8" w:space="0" w:color="auto"/>
            </w:tcBorders>
            <w:vAlign w:val="center"/>
          </w:tcPr>
          <w:p w:rsidR="00E44897" w:rsidRDefault="00E44897" w:rsidP="00E44897">
            <w:pPr>
              <w:jc w:val="center"/>
              <w:rPr>
                <w:rFonts w:ascii="Calibri" w:hAnsi="Calibri" w:cs="Arial"/>
                <w:sz w:val="20"/>
              </w:rPr>
            </w:pPr>
            <w:r>
              <w:rPr>
                <w:rFonts w:ascii="Calibri" w:hAnsi="Calibri" w:cs="Arial"/>
                <w:sz w:val="20"/>
              </w:rPr>
              <w:t>-3,1</w:t>
            </w:r>
          </w:p>
        </w:tc>
      </w:tr>
      <w:tr w:rsidR="008D2F7D" w:rsidRPr="008D2F7D" w:rsidTr="00575691">
        <w:trPr>
          <w:trHeight w:val="283"/>
          <w:jc w:val="center"/>
        </w:trPr>
        <w:tc>
          <w:tcPr>
            <w:tcW w:w="2717" w:type="dxa"/>
            <w:vAlign w:val="center"/>
          </w:tcPr>
          <w:p w:rsidR="008D2F7D" w:rsidRPr="008D2F7D" w:rsidRDefault="008D2F7D" w:rsidP="00F34283">
            <w:pPr>
              <w:jc w:val="left"/>
              <w:rPr>
                <w:rFonts w:asciiTheme="minorHAnsi" w:hAnsiTheme="minorHAnsi" w:cstheme="minorHAnsi"/>
                <w:sz w:val="20"/>
              </w:rPr>
            </w:pPr>
            <w:r w:rsidRPr="008D2F7D">
              <w:rPr>
                <w:rFonts w:asciiTheme="minorHAnsi" w:hAnsiTheme="minorHAnsi" w:cstheme="minorHAnsi"/>
                <w:sz w:val="20"/>
              </w:rPr>
              <w:t>Basilicata</w:t>
            </w:r>
          </w:p>
        </w:tc>
        <w:tc>
          <w:tcPr>
            <w:tcW w:w="2821" w:type="dxa"/>
            <w:vAlign w:val="center"/>
          </w:tcPr>
          <w:p w:rsidR="008D2F7D" w:rsidRPr="008D2F7D" w:rsidRDefault="008D2F7D" w:rsidP="00E44897">
            <w:pPr>
              <w:jc w:val="center"/>
              <w:rPr>
                <w:rFonts w:asciiTheme="minorHAnsi" w:hAnsiTheme="minorHAnsi" w:cstheme="minorHAnsi"/>
                <w:sz w:val="20"/>
              </w:rPr>
            </w:pPr>
            <w:r w:rsidRPr="008D2F7D">
              <w:rPr>
                <w:rFonts w:asciiTheme="minorHAnsi" w:hAnsiTheme="minorHAnsi" w:cstheme="minorHAnsi"/>
                <w:sz w:val="20"/>
              </w:rPr>
              <w:t>-</w:t>
            </w:r>
            <w:r w:rsidR="00E44897">
              <w:rPr>
                <w:rFonts w:asciiTheme="minorHAnsi" w:hAnsiTheme="minorHAnsi" w:cstheme="minorHAnsi"/>
                <w:sz w:val="20"/>
              </w:rPr>
              <w:t>1</w:t>
            </w:r>
            <w:r w:rsidRPr="008D2F7D">
              <w:rPr>
                <w:rFonts w:asciiTheme="minorHAnsi" w:hAnsiTheme="minorHAnsi" w:cstheme="minorHAnsi"/>
                <w:sz w:val="20"/>
              </w:rPr>
              <w:t>,</w:t>
            </w:r>
            <w:r w:rsidR="00E44897">
              <w:rPr>
                <w:rFonts w:asciiTheme="minorHAnsi" w:hAnsiTheme="minorHAnsi" w:cstheme="minorHAnsi"/>
                <w:sz w:val="20"/>
              </w:rPr>
              <w:t>4</w:t>
            </w:r>
          </w:p>
        </w:tc>
        <w:tc>
          <w:tcPr>
            <w:tcW w:w="2822" w:type="dxa"/>
            <w:vAlign w:val="center"/>
          </w:tcPr>
          <w:p w:rsidR="008D2F7D" w:rsidRPr="008D2F7D" w:rsidRDefault="008D2F7D" w:rsidP="00F34283">
            <w:pPr>
              <w:jc w:val="center"/>
              <w:rPr>
                <w:rFonts w:asciiTheme="minorHAnsi" w:hAnsiTheme="minorHAnsi" w:cstheme="minorHAnsi"/>
                <w:sz w:val="20"/>
              </w:rPr>
            </w:pPr>
            <w:r w:rsidRPr="008D2F7D">
              <w:rPr>
                <w:rFonts w:asciiTheme="minorHAnsi" w:hAnsiTheme="minorHAnsi" w:cstheme="minorHAnsi"/>
                <w:sz w:val="20"/>
              </w:rPr>
              <w:t>-</w:t>
            </w:r>
          </w:p>
        </w:tc>
      </w:tr>
      <w:tr w:rsidR="00E44897" w:rsidRPr="008D2F7D" w:rsidTr="00575691">
        <w:trPr>
          <w:trHeight w:val="283"/>
          <w:jc w:val="center"/>
        </w:trPr>
        <w:tc>
          <w:tcPr>
            <w:tcW w:w="2717" w:type="dxa"/>
            <w:vAlign w:val="center"/>
          </w:tcPr>
          <w:p w:rsidR="00E44897" w:rsidRPr="008D2F7D" w:rsidRDefault="00E44897" w:rsidP="00E44897">
            <w:pPr>
              <w:jc w:val="left"/>
              <w:rPr>
                <w:rFonts w:asciiTheme="minorHAnsi" w:hAnsiTheme="minorHAnsi" w:cstheme="minorHAnsi"/>
                <w:sz w:val="20"/>
              </w:rPr>
            </w:pPr>
            <w:r w:rsidRPr="008D2F7D">
              <w:rPr>
                <w:rFonts w:asciiTheme="minorHAnsi" w:hAnsiTheme="minorHAnsi" w:cstheme="minorHAnsi"/>
                <w:sz w:val="20"/>
              </w:rPr>
              <w:t>Calabria</w:t>
            </w:r>
          </w:p>
        </w:tc>
        <w:tc>
          <w:tcPr>
            <w:tcW w:w="2821" w:type="dxa"/>
            <w:vAlign w:val="center"/>
          </w:tcPr>
          <w:p w:rsidR="00E44897" w:rsidRDefault="00E44897" w:rsidP="00E44897">
            <w:pPr>
              <w:jc w:val="center"/>
              <w:rPr>
                <w:rFonts w:ascii="Calibri" w:hAnsi="Calibri" w:cs="Arial"/>
                <w:sz w:val="20"/>
              </w:rPr>
            </w:pPr>
            <w:r>
              <w:rPr>
                <w:rFonts w:ascii="Calibri" w:hAnsi="Calibri" w:cs="Arial"/>
                <w:sz w:val="20"/>
              </w:rPr>
              <w:t>-1,6</w:t>
            </w:r>
          </w:p>
        </w:tc>
        <w:tc>
          <w:tcPr>
            <w:tcW w:w="2822" w:type="dxa"/>
            <w:vAlign w:val="center"/>
          </w:tcPr>
          <w:p w:rsidR="00E44897" w:rsidRDefault="00E44897" w:rsidP="00E44897">
            <w:pPr>
              <w:jc w:val="center"/>
              <w:rPr>
                <w:rFonts w:ascii="Calibri" w:hAnsi="Calibri" w:cs="Arial"/>
                <w:sz w:val="20"/>
              </w:rPr>
            </w:pPr>
            <w:r>
              <w:rPr>
                <w:rFonts w:ascii="Calibri" w:hAnsi="Calibri" w:cs="Arial"/>
                <w:sz w:val="20"/>
              </w:rPr>
              <w:t>0,0</w:t>
            </w:r>
          </w:p>
        </w:tc>
      </w:tr>
      <w:tr w:rsidR="008D2F7D" w:rsidRPr="008D2F7D" w:rsidTr="00575691">
        <w:trPr>
          <w:trHeight w:val="283"/>
          <w:jc w:val="center"/>
        </w:trPr>
        <w:tc>
          <w:tcPr>
            <w:tcW w:w="2717" w:type="dxa"/>
            <w:vAlign w:val="center"/>
          </w:tcPr>
          <w:p w:rsidR="008D2F7D" w:rsidRPr="008D2F7D" w:rsidRDefault="008D2F7D" w:rsidP="00F34283">
            <w:pPr>
              <w:jc w:val="left"/>
              <w:rPr>
                <w:rFonts w:asciiTheme="minorHAnsi" w:hAnsiTheme="minorHAnsi" w:cstheme="minorHAnsi"/>
                <w:sz w:val="20"/>
              </w:rPr>
            </w:pPr>
            <w:r w:rsidRPr="008D2F7D">
              <w:rPr>
                <w:rFonts w:asciiTheme="minorHAnsi" w:hAnsiTheme="minorHAnsi" w:cstheme="minorHAnsi"/>
                <w:sz w:val="20"/>
              </w:rPr>
              <w:t>Campania</w:t>
            </w:r>
          </w:p>
        </w:tc>
        <w:tc>
          <w:tcPr>
            <w:tcW w:w="2821" w:type="dxa"/>
            <w:vAlign w:val="center"/>
          </w:tcPr>
          <w:p w:rsidR="008D2F7D" w:rsidRPr="008D2F7D" w:rsidRDefault="008D2F7D" w:rsidP="00E44897">
            <w:pPr>
              <w:jc w:val="center"/>
              <w:rPr>
                <w:rFonts w:asciiTheme="minorHAnsi" w:hAnsiTheme="minorHAnsi" w:cstheme="minorHAnsi"/>
                <w:sz w:val="20"/>
              </w:rPr>
            </w:pPr>
            <w:r w:rsidRPr="008D2F7D">
              <w:rPr>
                <w:rFonts w:asciiTheme="minorHAnsi" w:hAnsiTheme="minorHAnsi" w:cstheme="minorHAnsi"/>
                <w:sz w:val="20"/>
              </w:rPr>
              <w:t>-</w:t>
            </w:r>
            <w:r w:rsidR="00E44897">
              <w:rPr>
                <w:rFonts w:asciiTheme="minorHAnsi" w:hAnsiTheme="minorHAnsi" w:cstheme="minorHAnsi"/>
                <w:sz w:val="20"/>
              </w:rPr>
              <w:t>1</w:t>
            </w:r>
            <w:r w:rsidRPr="008D2F7D">
              <w:rPr>
                <w:rFonts w:asciiTheme="minorHAnsi" w:hAnsiTheme="minorHAnsi" w:cstheme="minorHAnsi"/>
                <w:sz w:val="20"/>
              </w:rPr>
              <w:t>,</w:t>
            </w:r>
            <w:r w:rsidR="00E44897">
              <w:rPr>
                <w:rFonts w:asciiTheme="minorHAnsi" w:hAnsiTheme="minorHAnsi" w:cstheme="minorHAnsi"/>
                <w:sz w:val="20"/>
              </w:rPr>
              <w:t>5</w:t>
            </w:r>
          </w:p>
        </w:tc>
        <w:tc>
          <w:tcPr>
            <w:tcW w:w="2822" w:type="dxa"/>
            <w:vAlign w:val="center"/>
          </w:tcPr>
          <w:p w:rsidR="008D2F7D" w:rsidRPr="008D2F7D" w:rsidRDefault="008D2F7D" w:rsidP="00F34283">
            <w:pPr>
              <w:jc w:val="center"/>
              <w:rPr>
                <w:rFonts w:asciiTheme="minorHAnsi" w:hAnsiTheme="minorHAnsi" w:cstheme="minorHAnsi"/>
                <w:sz w:val="20"/>
              </w:rPr>
            </w:pPr>
            <w:r w:rsidRPr="008D2F7D">
              <w:rPr>
                <w:rFonts w:asciiTheme="minorHAnsi" w:hAnsiTheme="minorHAnsi" w:cstheme="minorHAnsi"/>
                <w:sz w:val="20"/>
              </w:rPr>
              <w:t>-</w:t>
            </w:r>
          </w:p>
        </w:tc>
      </w:tr>
      <w:tr w:rsidR="008D2F7D" w:rsidRPr="008D2F7D" w:rsidTr="00575691">
        <w:trPr>
          <w:trHeight w:val="283"/>
          <w:jc w:val="center"/>
        </w:trPr>
        <w:tc>
          <w:tcPr>
            <w:tcW w:w="2717" w:type="dxa"/>
            <w:vAlign w:val="center"/>
          </w:tcPr>
          <w:p w:rsidR="008D2F7D" w:rsidRPr="008D2F7D" w:rsidRDefault="008D2F7D" w:rsidP="00F34283">
            <w:pPr>
              <w:jc w:val="left"/>
              <w:rPr>
                <w:rFonts w:asciiTheme="minorHAnsi" w:hAnsiTheme="minorHAnsi" w:cstheme="minorHAnsi"/>
                <w:sz w:val="20"/>
              </w:rPr>
            </w:pPr>
            <w:r w:rsidRPr="008D2F7D">
              <w:rPr>
                <w:rFonts w:asciiTheme="minorHAnsi" w:hAnsiTheme="minorHAnsi" w:cstheme="minorHAnsi"/>
                <w:sz w:val="20"/>
              </w:rPr>
              <w:t>Emilia Romagna</w:t>
            </w:r>
          </w:p>
        </w:tc>
        <w:tc>
          <w:tcPr>
            <w:tcW w:w="2821" w:type="dxa"/>
            <w:vAlign w:val="center"/>
          </w:tcPr>
          <w:p w:rsidR="008D2F7D" w:rsidRPr="008D2F7D" w:rsidRDefault="00E44897" w:rsidP="00F34283">
            <w:pPr>
              <w:jc w:val="center"/>
              <w:rPr>
                <w:rFonts w:asciiTheme="minorHAnsi" w:hAnsiTheme="minorHAnsi" w:cstheme="minorHAnsi"/>
                <w:sz w:val="20"/>
              </w:rPr>
            </w:pPr>
            <w:r>
              <w:rPr>
                <w:rFonts w:asciiTheme="minorHAnsi" w:hAnsiTheme="minorHAnsi" w:cstheme="minorHAnsi"/>
                <w:sz w:val="20"/>
              </w:rPr>
              <w:t>-2</w:t>
            </w:r>
            <w:r w:rsidR="008D2F7D" w:rsidRPr="008D2F7D">
              <w:rPr>
                <w:rFonts w:asciiTheme="minorHAnsi" w:hAnsiTheme="minorHAnsi" w:cstheme="minorHAnsi"/>
                <w:sz w:val="20"/>
              </w:rPr>
              <w:t>,7</w:t>
            </w:r>
          </w:p>
        </w:tc>
        <w:tc>
          <w:tcPr>
            <w:tcW w:w="2822" w:type="dxa"/>
            <w:vAlign w:val="center"/>
          </w:tcPr>
          <w:p w:rsidR="008D2F7D" w:rsidRPr="008D2F7D" w:rsidRDefault="008D2F7D" w:rsidP="00F34283">
            <w:pPr>
              <w:jc w:val="center"/>
              <w:rPr>
                <w:rFonts w:asciiTheme="minorHAnsi" w:hAnsiTheme="minorHAnsi" w:cstheme="minorHAnsi"/>
                <w:sz w:val="20"/>
              </w:rPr>
            </w:pPr>
            <w:r w:rsidRPr="008D2F7D">
              <w:rPr>
                <w:rFonts w:asciiTheme="minorHAnsi" w:hAnsiTheme="minorHAnsi" w:cstheme="minorHAnsi"/>
                <w:sz w:val="20"/>
              </w:rPr>
              <w:t>-</w:t>
            </w:r>
          </w:p>
        </w:tc>
      </w:tr>
      <w:tr w:rsidR="008D2F7D" w:rsidRPr="008D2F7D" w:rsidTr="00575691">
        <w:trPr>
          <w:trHeight w:val="283"/>
          <w:jc w:val="center"/>
        </w:trPr>
        <w:tc>
          <w:tcPr>
            <w:tcW w:w="2717" w:type="dxa"/>
            <w:vAlign w:val="center"/>
          </w:tcPr>
          <w:p w:rsidR="008D2F7D" w:rsidRPr="008D2F7D" w:rsidRDefault="008D2F7D" w:rsidP="00F34283">
            <w:pPr>
              <w:jc w:val="left"/>
              <w:rPr>
                <w:rFonts w:asciiTheme="minorHAnsi" w:hAnsiTheme="minorHAnsi" w:cstheme="minorHAnsi"/>
                <w:sz w:val="20"/>
              </w:rPr>
            </w:pPr>
            <w:r w:rsidRPr="008D2F7D">
              <w:rPr>
                <w:rFonts w:asciiTheme="minorHAnsi" w:hAnsiTheme="minorHAnsi" w:cstheme="minorHAnsi"/>
                <w:sz w:val="20"/>
              </w:rPr>
              <w:t>Friuli Venezia-Giulia</w:t>
            </w:r>
          </w:p>
        </w:tc>
        <w:tc>
          <w:tcPr>
            <w:tcW w:w="2821" w:type="dxa"/>
            <w:vAlign w:val="center"/>
          </w:tcPr>
          <w:p w:rsidR="008D2F7D" w:rsidRPr="008D2F7D" w:rsidRDefault="008D2F7D" w:rsidP="00F34283">
            <w:pPr>
              <w:jc w:val="center"/>
              <w:rPr>
                <w:rFonts w:asciiTheme="minorHAnsi" w:hAnsiTheme="minorHAnsi" w:cstheme="minorHAnsi"/>
                <w:sz w:val="20"/>
              </w:rPr>
            </w:pPr>
            <w:r w:rsidRPr="008D2F7D">
              <w:rPr>
                <w:rFonts w:asciiTheme="minorHAnsi" w:hAnsiTheme="minorHAnsi" w:cstheme="minorHAnsi"/>
                <w:sz w:val="20"/>
              </w:rPr>
              <w:t>-2,</w:t>
            </w:r>
            <w:r w:rsidR="00E44897">
              <w:rPr>
                <w:rFonts w:asciiTheme="minorHAnsi" w:hAnsiTheme="minorHAnsi" w:cstheme="minorHAnsi"/>
                <w:sz w:val="20"/>
              </w:rPr>
              <w:t>3</w:t>
            </w:r>
          </w:p>
        </w:tc>
        <w:tc>
          <w:tcPr>
            <w:tcW w:w="2822" w:type="dxa"/>
            <w:vAlign w:val="center"/>
          </w:tcPr>
          <w:p w:rsidR="008D2F7D" w:rsidRPr="008D2F7D" w:rsidRDefault="008D2F7D" w:rsidP="00F34283">
            <w:pPr>
              <w:jc w:val="center"/>
              <w:rPr>
                <w:rFonts w:asciiTheme="minorHAnsi" w:hAnsiTheme="minorHAnsi" w:cstheme="minorHAnsi"/>
                <w:sz w:val="20"/>
              </w:rPr>
            </w:pPr>
            <w:r w:rsidRPr="008D2F7D">
              <w:rPr>
                <w:rFonts w:asciiTheme="minorHAnsi" w:hAnsiTheme="minorHAnsi" w:cstheme="minorHAnsi"/>
                <w:sz w:val="20"/>
              </w:rPr>
              <w:t>-0,</w:t>
            </w:r>
            <w:r w:rsidR="00E44897">
              <w:rPr>
                <w:rFonts w:asciiTheme="minorHAnsi" w:hAnsiTheme="minorHAnsi" w:cstheme="minorHAnsi"/>
                <w:sz w:val="20"/>
              </w:rPr>
              <w:t>3</w:t>
            </w:r>
          </w:p>
        </w:tc>
      </w:tr>
      <w:tr w:rsidR="008D2F7D" w:rsidRPr="008D2F7D" w:rsidTr="00575691">
        <w:trPr>
          <w:trHeight w:val="283"/>
          <w:jc w:val="center"/>
        </w:trPr>
        <w:tc>
          <w:tcPr>
            <w:tcW w:w="2717" w:type="dxa"/>
            <w:vAlign w:val="center"/>
          </w:tcPr>
          <w:p w:rsidR="008D2F7D" w:rsidRPr="008D2F7D" w:rsidRDefault="008D2F7D" w:rsidP="00F34283">
            <w:pPr>
              <w:jc w:val="left"/>
              <w:rPr>
                <w:rFonts w:asciiTheme="minorHAnsi" w:hAnsiTheme="minorHAnsi" w:cstheme="minorHAnsi"/>
                <w:sz w:val="20"/>
              </w:rPr>
            </w:pPr>
            <w:r w:rsidRPr="008D2F7D">
              <w:rPr>
                <w:rFonts w:asciiTheme="minorHAnsi" w:hAnsiTheme="minorHAnsi" w:cstheme="minorHAnsi"/>
                <w:sz w:val="20"/>
              </w:rPr>
              <w:t>Lazio</w:t>
            </w:r>
          </w:p>
        </w:tc>
        <w:tc>
          <w:tcPr>
            <w:tcW w:w="2821" w:type="dxa"/>
            <w:vAlign w:val="center"/>
          </w:tcPr>
          <w:p w:rsidR="008D2F7D" w:rsidRPr="008D2F7D" w:rsidRDefault="00E44897" w:rsidP="00F34283">
            <w:pPr>
              <w:jc w:val="center"/>
              <w:rPr>
                <w:rFonts w:asciiTheme="minorHAnsi" w:hAnsiTheme="minorHAnsi" w:cstheme="minorHAnsi"/>
                <w:sz w:val="20"/>
              </w:rPr>
            </w:pPr>
            <w:r>
              <w:rPr>
                <w:rFonts w:asciiTheme="minorHAnsi" w:hAnsiTheme="minorHAnsi" w:cstheme="minorHAnsi"/>
                <w:sz w:val="20"/>
              </w:rPr>
              <w:t>-2</w:t>
            </w:r>
            <w:r w:rsidR="008D2F7D" w:rsidRPr="008D2F7D">
              <w:rPr>
                <w:rFonts w:asciiTheme="minorHAnsi" w:hAnsiTheme="minorHAnsi" w:cstheme="minorHAnsi"/>
                <w:sz w:val="20"/>
              </w:rPr>
              <w:t>,</w:t>
            </w:r>
            <w:r>
              <w:rPr>
                <w:rFonts w:asciiTheme="minorHAnsi" w:hAnsiTheme="minorHAnsi" w:cstheme="minorHAnsi"/>
                <w:sz w:val="20"/>
              </w:rPr>
              <w:t>8</w:t>
            </w:r>
          </w:p>
        </w:tc>
        <w:tc>
          <w:tcPr>
            <w:tcW w:w="2822" w:type="dxa"/>
            <w:vAlign w:val="center"/>
          </w:tcPr>
          <w:p w:rsidR="008D2F7D" w:rsidRPr="008D2F7D" w:rsidRDefault="008D2F7D" w:rsidP="00F34283">
            <w:pPr>
              <w:jc w:val="center"/>
              <w:rPr>
                <w:rFonts w:asciiTheme="minorHAnsi" w:hAnsiTheme="minorHAnsi" w:cstheme="minorHAnsi"/>
                <w:sz w:val="20"/>
              </w:rPr>
            </w:pPr>
            <w:r w:rsidRPr="008D2F7D">
              <w:rPr>
                <w:rFonts w:asciiTheme="minorHAnsi" w:hAnsiTheme="minorHAnsi" w:cstheme="minorHAnsi"/>
                <w:sz w:val="20"/>
              </w:rPr>
              <w:t>-</w:t>
            </w:r>
          </w:p>
        </w:tc>
      </w:tr>
      <w:tr w:rsidR="008D2F7D" w:rsidRPr="008D2F7D" w:rsidTr="00575691">
        <w:trPr>
          <w:trHeight w:val="283"/>
          <w:jc w:val="center"/>
        </w:trPr>
        <w:tc>
          <w:tcPr>
            <w:tcW w:w="2717" w:type="dxa"/>
            <w:vAlign w:val="center"/>
          </w:tcPr>
          <w:p w:rsidR="008D2F7D" w:rsidRPr="008D2F7D" w:rsidRDefault="008D2F7D" w:rsidP="00F34283">
            <w:pPr>
              <w:jc w:val="left"/>
              <w:rPr>
                <w:rFonts w:asciiTheme="minorHAnsi" w:hAnsiTheme="minorHAnsi" w:cstheme="minorHAnsi"/>
                <w:sz w:val="20"/>
              </w:rPr>
            </w:pPr>
            <w:r w:rsidRPr="008D2F7D">
              <w:rPr>
                <w:rFonts w:asciiTheme="minorHAnsi" w:hAnsiTheme="minorHAnsi" w:cstheme="minorHAnsi"/>
                <w:sz w:val="20"/>
              </w:rPr>
              <w:t>Liguria</w:t>
            </w:r>
          </w:p>
        </w:tc>
        <w:tc>
          <w:tcPr>
            <w:tcW w:w="2821" w:type="dxa"/>
            <w:vAlign w:val="center"/>
          </w:tcPr>
          <w:p w:rsidR="008D2F7D" w:rsidRPr="008D2F7D" w:rsidRDefault="008D2F7D" w:rsidP="00F34283">
            <w:pPr>
              <w:jc w:val="center"/>
              <w:rPr>
                <w:rFonts w:asciiTheme="minorHAnsi" w:hAnsiTheme="minorHAnsi" w:cstheme="minorHAnsi"/>
                <w:sz w:val="20"/>
              </w:rPr>
            </w:pPr>
            <w:r w:rsidRPr="008D2F7D">
              <w:rPr>
                <w:rFonts w:asciiTheme="minorHAnsi" w:hAnsiTheme="minorHAnsi" w:cstheme="minorHAnsi"/>
                <w:sz w:val="20"/>
              </w:rPr>
              <w:t>-2,</w:t>
            </w:r>
            <w:r w:rsidR="00E44897">
              <w:rPr>
                <w:rFonts w:asciiTheme="minorHAnsi" w:hAnsiTheme="minorHAnsi" w:cstheme="minorHAnsi"/>
                <w:sz w:val="20"/>
              </w:rPr>
              <w:t>4</w:t>
            </w:r>
          </w:p>
        </w:tc>
        <w:tc>
          <w:tcPr>
            <w:tcW w:w="2822" w:type="dxa"/>
            <w:vAlign w:val="center"/>
          </w:tcPr>
          <w:p w:rsidR="008D2F7D" w:rsidRPr="008D2F7D" w:rsidRDefault="008D2F7D" w:rsidP="00F34283">
            <w:pPr>
              <w:jc w:val="center"/>
              <w:rPr>
                <w:rFonts w:asciiTheme="minorHAnsi" w:hAnsiTheme="minorHAnsi" w:cstheme="minorHAnsi"/>
                <w:sz w:val="20"/>
              </w:rPr>
            </w:pPr>
            <w:r w:rsidRPr="008D2F7D">
              <w:rPr>
                <w:rFonts w:asciiTheme="minorHAnsi" w:hAnsiTheme="minorHAnsi" w:cstheme="minorHAnsi"/>
                <w:sz w:val="20"/>
              </w:rPr>
              <w:t>-</w:t>
            </w:r>
          </w:p>
        </w:tc>
      </w:tr>
      <w:tr w:rsidR="008D2F7D" w:rsidRPr="008D2F7D" w:rsidTr="00575691">
        <w:trPr>
          <w:trHeight w:val="283"/>
          <w:jc w:val="center"/>
        </w:trPr>
        <w:tc>
          <w:tcPr>
            <w:tcW w:w="2717" w:type="dxa"/>
            <w:vAlign w:val="center"/>
          </w:tcPr>
          <w:p w:rsidR="008D2F7D" w:rsidRPr="008D2F7D" w:rsidRDefault="008D2F7D" w:rsidP="00F34283">
            <w:pPr>
              <w:jc w:val="left"/>
              <w:rPr>
                <w:rFonts w:asciiTheme="minorHAnsi" w:hAnsiTheme="minorHAnsi" w:cstheme="minorHAnsi"/>
                <w:sz w:val="20"/>
              </w:rPr>
            </w:pPr>
            <w:r w:rsidRPr="008D2F7D">
              <w:rPr>
                <w:rFonts w:asciiTheme="minorHAnsi" w:hAnsiTheme="minorHAnsi" w:cstheme="minorHAnsi"/>
                <w:sz w:val="20"/>
              </w:rPr>
              <w:t>Lombardia</w:t>
            </w:r>
          </w:p>
        </w:tc>
        <w:tc>
          <w:tcPr>
            <w:tcW w:w="2821" w:type="dxa"/>
            <w:vAlign w:val="center"/>
          </w:tcPr>
          <w:p w:rsidR="008D2F7D" w:rsidRPr="008D2F7D" w:rsidRDefault="008D2F7D" w:rsidP="00F34283">
            <w:pPr>
              <w:jc w:val="center"/>
              <w:rPr>
                <w:rFonts w:asciiTheme="minorHAnsi" w:hAnsiTheme="minorHAnsi" w:cstheme="minorHAnsi"/>
                <w:sz w:val="20"/>
              </w:rPr>
            </w:pPr>
            <w:r w:rsidRPr="008D2F7D">
              <w:rPr>
                <w:rFonts w:asciiTheme="minorHAnsi" w:hAnsiTheme="minorHAnsi" w:cstheme="minorHAnsi"/>
                <w:sz w:val="20"/>
              </w:rPr>
              <w:t>-</w:t>
            </w:r>
          </w:p>
        </w:tc>
        <w:tc>
          <w:tcPr>
            <w:tcW w:w="2822" w:type="dxa"/>
            <w:vAlign w:val="center"/>
          </w:tcPr>
          <w:p w:rsidR="008D2F7D" w:rsidRPr="008D2F7D" w:rsidRDefault="008D2F7D" w:rsidP="00F34283">
            <w:pPr>
              <w:jc w:val="center"/>
              <w:rPr>
                <w:rFonts w:asciiTheme="minorHAnsi" w:hAnsiTheme="minorHAnsi" w:cstheme="minorHAnsi"/>
                <w:sz w:val="20"/>
              </w:rPr>
            </w:pPr>
            <w:r w:rsidRPr="008D2F7D">
              <w:rPr>
                <w:rFonts w:asciiTheme="minorHAnsi" w:hAnsiTheme="minorHAnsi" w:cstheme="minorHAnsi"/>
                <w:sz w:val="20"/>
              </w:rPr>
              <w:t>-2,</w:t>
            </w:r>
            <w:r w:rsidR="00E44897">
              <w:rPr>
                <w:rFonts w:asciiTheme="minorHAnsi" w:hAnsiTheme="minorHAnsi" w:cstheme="minorHAnsi"/>
                <w:sz w:val="20"/>
              </w:rPr>
              <w:t>8</w:t>
            </w:r>
          </w:p>
        </w:tc>
      </w:tr>
      <w:tr w:rsidR="008D2F7D" w:rsidRPr="008D2F7D" w:rsidTr="00575691">
        <w:trPr>
          <w:trHeight w:val="283"/>
          <w:jc w:val="center"/>
        </w:trPr>
        <w:tc>
          <w:tcPr>
            <w:tcW w:w="2717" w:type="dxa"/>
            <w:vAlign w:val="center"/>
          </w:tcPr>
          <w:p w:rsidR="008D2F7D" w:rsidRPr="008D2F7D" w:rsidRDefault="008D2F7D" w:rsidP="00F34283">
            <w:pPr>
              <w:jc w:val="left"/>
              <w:rPr>
                <w:rFonts w:asciiTheme="minorHAnsi" w:hAnsiTheme="minorHAnsi" w:cstheme="minorHAnsi"/>
                <w:sz w:val="20"/>
              </w:rPr>
            </w:pPr>
            <w:r w:rsidRPr="008D2F7D">
              <w:rPr>
                <w:rFonts w:asciiTheme="minorHAnsi" w:hAnsiTheme="minorHAnsi" w:cstheme="minorHAnsi"/>
                <w:sz w:val="20"/>
              </w:rPr>
              <w:t>Marche</w:t>
            </w:r>
          </w:p>
        </w:tc>
        <w:tc>
          <w:tcPr>
            <w:tcW w:w="2821" w:type="dxa"/>
            <w:vAlign w:val="center"/>
          </w:tcPr>
          <w:p w:rsidR="008D2F7D" w:rsidRPr="008D2F7D" w:rsidRDefault="00E44897" w:rsidP="00F34283">
            <w:pPr>
              <w:jc w:val="center"/>
              <w:rPr>
                <w:rFonts w:asciiTheme="minorHAnsi" w:hAnsiTheme="minorHAnsi" w:cstheme="minorHAnsi"/>
                <w:sz w:val="20"/>
              </w:rPr>
            </w:pPr>
            <w:r>
              <w:rPr>
                <w:rFonts w:asciiTheme="minorHAnsi" w:hAnsiTheme="minorHAnsi" w:cstheme="minorHAnsi"/>
                <w:sz w:val="20"/>
              </w:rPr>
              <w:t>-3</w:t>
            </w:r>
            <w:r w:rsidR="008D2F7D" w:rsidRPr="008D2F7D">
              <w:rPr>
                <w:rFonts w:asciiTheme="minorHAnsi" w:hAnsiTheme="minorHAnsi" w:cstheme="minorHAnsi"/>
                <w:sz w:val="20"/>
              </w:rPr>
              <w:t>,</w:t>
            </w:r>
            <w:r>
              <w:rPr>
                <w:rFonts w:asciiTheme="minorHAnsi" w:hAnsiTheme="minorHAnsi" w:cstheme="minorHAnsi"/>
                <w:sz w:val="20"/>
              </w:rPr>
              <w:t>0</w:t>
            </w:r>
          </w:p>
        </w:tc>
        <w:tc>
          <w:tcPr>
            <w:tcW w:w="2822" w:type="dxa"/>
            <w:vAlign w:val="center"/>
          </w:tcPr>
          <w:p w:rsidR="008D2F7D" w:rsidRPr="008D2F7D" w:rsidRDefault="008D2F7D" w:rsidP="00F34283">
            <w:pPr>
              <w:jc w:val="center"/>
              <w:rPr>
                <w:rFonts w:asciiTheme="minorHAnsi" w:hAnsiTheme="minorHAnsi" w:cstheme="minorHAnsi"/>
                <w:sz w:val="20"/>
              </w:rPr>
            </w:pPr>
            <w:r w:rsidRPr="008D2F7D">
              <w:rPr>
                <w:rFonts w:asciiTheme="minorHAnsi" w:hAnsiTheme="minorHAnsi" w:cstheme="minorHAnsi"/>
                <w:sz w:val="20"/>
              </w:rPr>
              <w:t>-</w:t>
            </w:r>
          </w:p>
        </w:tc>
      </w:tr>
      <w:tr w:rsidR="008D2F7D" w:rsidRPr="008D2F7D" w:rsidTr="00575691">
        <w:trPr>
          <w:trHeight w:val="283"/>
          <w:jc w:val="center"/>
        </w:trPr>
        <w:tc>
          <w:tcPr>
            <w:tcW w:w="2717" w:type="dxa"/>
            <w:vAlign w:val="center"/>
          </w:tcPr>
          <w:p w:rsidR="008D2F7D" w:rsidRPr="008D2F7D" w:rsidRDefault="008D2F7D" w:rsidP="00F34283">
            <w:pPr>
              <w:jc w:val="left"/>
              <w:rPr>
                <w:rFonts w:asciiTheme="minorHAnsi" w:hAnsiTheme="minorHAnsi" w:cstheme="minorHAnsi"/>
                <w:sz w:val="20"/>
              </w:rPr>
            </w:pPr>
            <w:r w:rsidRPr="008D2F7D">
              <w:rPr>
                <w:rFonts w:asciiTheme="minorHAnsi" w:hAnsiTheme="minorHAnsi" w:cstheme="minorHAnsi"/>
                <w:sz w:val="20"/>
              </w:rPr>
              <w:t>Molise</w:t>
            </w:r>
          </w:p>
        </w:tc>
        <w:tc>
          <w:tcPr>
            <w:tcW w:w="2821" w:type="dxa"/>
            <w:vAlign w:val="center"/>
          </w:tcPr>
          <w:p w:rsidR="008D2F7D" w:rsidRPr="008D2F7D" w:rsidRDefault="008D2F7D" w:rsidP="00F34283">
            <w:pPr>
              <w:jc w:val="center"/>
              <w:rPr>
                <w:rFonts w:asciiTheme="minorHAnsi" w:hAnsiTheme="minorHAnsi" w:cstheme="minorHAnsi"/>
                <w:sz w:val="20"/>
              </w:rPr>
            </w:pPr>
            <w:r w:rsidRPr="008D2F7D">
              <w:rPr>
                <w:rFonts w:asciiTheme="minorHAnsi" w:hAnsiTheme="minorHAnsi" w:cstheme="minorHAnsi"/>
                <w:sz w:val="20"/>
              </w:rPr>
              <w:t>-1,8</w:t>
            </w:r>
          </w:p>
        </w:tc>
        <w:tc>
          <w:tcPr>
            <w:tcW w:w="2822" w:type="dxa"/>
            <w:vAlign w:val="center"/>
          </w:tcPr>
          <w:p w:rsidR="008D2F7D" w:rsidRPr="008D2F7D" w:rsidRDefault="008D2F7D" w:rsidP="00F34283">
            <w:pPr>
              <w:jc w:val="center"/>
              <w:rPr>
                <w:rFonts w:asciiTheme="minorHAnsi" w:hAnsiTheme="minorHAnsi" w:cstheme="minorHAnsi"/>
                <w:sz w:val="20"/>
              </w:rPr>
            </w:pPr>
            <w:r w:rsidRPr="008D2F7D">
              <w:rPr>
                <w:rFonts w:asciiTheme="minorHAnsi" w:hAnsiTheme="minorHAnsi" w:cstheme="minorHAnsi"/>
                <w:sz w:val="20"/>
              </w:rPr>
              <w:t>-</w:t>
            </w:r>
          </w:p>
        </w:tc>
      </w:tr>
      <w:tr w:rsidR="008D2F7D" w:rsidRPr="008D2F7D" w:rsidTr="00575691">
        <w:trPr>
          <w:trHeight w:val="283"/>
          <w:jc w:val="center"/>
        </w:trPr>
        <w:tc>
          <w:tcPr>
            <w:tcW w:w="2717" w:type="dxa"/>
            <w:vAlign w:val="center"/>
          </w:tcPr>
          <w:p w:rsidR="008D2F7D" w:rsidRPr="008D2F7D" w:rsidRDefault="008D2F7D" w:rsidP="00F34283">
            <w:pPr>
              <w:jc w:val="left"/>
              <w:rPr>
                <w:rFonts w:asciiTheme="minorHAnsi" w:hAnsiTheme="minorHAnsi" w:cstheme="minorHAnsi"/>
                <w:sz w:val="20"/>
              </w:rPr>
            </w:pPr>
            <w:r w:rsidRPr="008D2F7D">
              <w:rPr>
                <w:rFonts w:asciiTheme="minorHAnsi" w:hAnsiTheme="minorHAnsi" w:cstheme="minorHAnsi"/>
                <w:sz w:val="20"/>
              </w:rPr>
              <w:t>Piemonte</w:t>
            </w:r>
          </w:p>
        </w:tc>
        <w:tc>
          <w:tcPr>
            <w:tcW w:w="2821" w:type="dxa"/>
            <w:vAlign w:val="center"/>
          </w:tcPr>
          <w:p w:rsidR="008D2F7D" w:rsidRPr="008D2F7D" w:rsidRDefault="008D2F7D" w:rsidP="00F34283">
            <w:pPr>
              <w:jc w:val="center"/>
              <w:rPr>
                <w:rFonts w:asciiTheme="minorHAnsi" w:hAnsiTheme="minorHAnsi" w:cstheme="minorHAnsi"/>
                <w:sz w:val="20"/>
              </w:rPr>
            </w:pPr>
            <w:r w:rsidRPr="008D2F7D">
              <w:rPr>
                <w:rFonts w:asciiTheme="minorHAnsi" w:hAnsiTheme="minorHAnsi" w:cstheme="minorHAnsi"/>
                <w:sz w:val="20"/>
              </w:rPr>
              <w:t>-</w:t>
            </w:r>
          </w:p>
        </w:tc>
        <w:tc>
          <w:tcPr>
            <w:tcW w:w="2822" w:type="dxa"/>
            <w:vAlign w:val="center"/>
          </w:tcPr>
          <w:p w:rsidR="008D2F7D" w:rsidRPr="008D2F7D" w:rsidRDefault="008D2F7D" w:rsidP="00F34283">
            <w:pPr>
              <w:jc w:val="center"/>
              <w:rPr>
                <w:rFonts w:asciiTheme="minorHAnsi" w:hAnsiTheme="minorHAnsi" w:cstheme="minorHAnsi"/>
                <w:sz w:val="20"/>
              </w:rPr>
            </w:pPr>
            <w:r w:rsidRPr="008D2F7D">
              <w:rPr>
                <w:rFonts w:asciiTheme="minorHAnsi" w:hAnsiTheme="minorHAnsi" w:cstheme="minorHAnsi"/>
                <w:sz w:val="20"/>
              </w:rPr>
              <w:t>-2,0</w:t>
            </w:r>
          </w:p>
        </w:tc>
      </w:tr>
      <w:tr w:rsidR="008D2F7D" w:rsidRPr="008D2F7D" w:rsidTr="00575691">
        <w:trPr>
          <w:trHeight w:val="283"/>
          <w:jc w:val="center"/>
        </w:trPr>
        <w:tc>
          <w:tcPr>
            <w:tcW w:w="2717" w:type="dxa"/>
            <w:vAlign w:val="center"/>
          </w:tcPr>
          <w:p w:rsidR="008D2F7D" w:rsidRPr="008D2F7D" w:rsidRDefault="008D2F7D" w:rsidP="00F34283">
            <w:pPr>
              <w:jc w:val="left"/>
              <w:rPr>
                <w:rFonts w:asciiTheme="minorHAnsi" w:hAnsiTheme="minorHAnsi" w:cstheme="minorHAnsi"/>
                <w:sz w:val="20"/>
              </w:rPr>
            </w:pPr>
            <w:r w:rsidRPr="008D2F7D">
              <w:rPr>
                <w:rFonts w:asciiTheme="minorHAnsi" w:hAnsiTheme="minorHAnsi" w:cstheme="minorHAnsi"/>
                <w:sz w:val="20"/>
              </w:rPr>
              <w:t>Puglia</w:t>
            </w:r>
          </w:p>
        </w:tc>
        <w:tc>
          <w:tcPr>
            <w:tcW w:w="2821" w:type="dxa"/>
            <w:vAlign w:val="center"/>
          </w:tcPr>
          <w:p w:rsidR="008D2F7D" w:rsidRPr="008D2F7D" w:rsidRDefault="00E44897" w:rsidP="00F34283">
            <w:pPr>
              <w:jc w:val="center"/>
              <w:rPr>
                <w:rFonts w:asciiTheme="minorHAnsi" w:hAnsiTheme="minorHAnsi" w:cstheme="minorHAnsi"/>
                <w:sz w:val="20"/>
              </w:rPr>
            </w:pPr>
            <w:r>
              <w:rPr>
                <w:rFonts w:asciiTheme="minorHAnsi" w:hAnsiTheme="minorHAnsi" w:cstheme="minorHAnsi"/>
                <w:sz w:val="20"/>
              </w:rPr>
              <w:t>-0</w:t>
            </w:r>
            <w:r w:rsidR="008D2F7D" w:rsidRPr="008D2F7D">
              <w:rPr>
                <w:rFonts w:asciiTheme="minorHAnsi" w:hAnsiTheme="minorHAnsi" w:cstheme="minorHAnsi"/>
                <w:sz w:val="20"/>
              </w:rPr>
              <w:t>,</w:t>
            </w:r>
            <w:r>
              <w:rPr>
                <w:rFonts w:asciiTheme="minorHAnsi" w:hAnsiTheme="minorHAnsi" w:cstheme="minorHAnsi"/>
                <w:sz w:val="20"/>
              </w:rPr>
              <w:t>9</w:t>
            </w:r>
          </w:p>
        </w:tc>
        <w:tc>
          <w:tcPr>
            <w:tcW w:w="2822" w:type="dxa"/>
            <w:vAlign w:val="center"/>
          </w:tcPr>
          <w:p w:rsidR="008D2F7D" w:rsidRPr="008D2F7D" w:rsidRDefault="008D2F7D" w:rsidP="00F34283">
            <w:pPr>
              <w:jc w:val="center"/>
              <w:rPr>
                <w:rFonts w:asciiTheme="minorHAnsi" w:hAnsiTheme="minorHAnsi" w:cstheme="minorHAnsi"/>
                <w:sz w:val="20"/>
              </w:rPr>
            </w:pPr>
            <w:r w:rsidRPr="008D2F7D">
              <w:rPr>
                <w:rFonts w:asciiTheme="minorHAnsi" w:hAnsiTheme="minorHAnsi" w:cstheme="minorHAnsi"/>
                <w:sz w:val="20"/>
              </w:rPr>
              <w:t>-</w:t>
            </w:r>
          </w:p>
        </w:tc>
      </w:tr>
      <w:tr w:rsidR="008D2F7D" w:rsidRPr="008D2F7D" w:rsidTr="00575691">
        <w:trPr>
          <w:trHeight w:val="283"/>
          <w:jc w:val="center"/>
        </w:trPr>
        <w:tc>
          <w:tcPr>
            <w:tcW w:w="2717" w:type="dxa"/>
            <w:vAlign w:val="center"/>
          </w:tcPr>
          <w:p w:rsidR="008D2F7D" w:rsidRPr="008D2F7D" w:rsidRDefault="008D2F7D" w:rsidP="00F34283">
            <w:pPr>
              <w:jc w:val="left"/>
              <w:rPr>
                <w:rFonts w:asciiTheme="minorHAnsi" w:hAnsiTheme="minorHAnsi" w:cstheme="minorHAnsi"/>
                <w:sz w:val="20"/>
              </w:rPr>
            </w:pPr>
            <w:r w:rsidRPr="008D2F7D">
              <w:rPr>
                <w:rFonts w:asciiTheme="minorHAnsi" w:hAnsiTheme="minorHAnsi" w:cstheme="minorHAnsi"/>
                <w:sz w:val="20"/>
              </w:rPr>
              <w:t>Sardegna</w:t>
            </w:r>
          </w:p>
        </w:tc>
        <w:tc>
          <w:tcPr>
            <w:tcW w:w="2821" w:type="dxa"/>
            <w:vAlign w:val="center"/>
          </w:tcPr>
          <w:p w:rsidR="008D2F7D" w:rsidRPr="008D2F7D" w:rsidRDefault="00E44897" w:rsidP="00F34283">
            <w:pPr>
              <w:jc w:val="center"/>
              <w:rPr>
                <w:rFonts w:asciiTheme="minorHAnsi" w:hAnsiTheme="minorHAnsi" w:cstheme="minorHAnsi"/>
                <w:sz w:val="20"/>
              </w:rPr>
            </w:pPr>
            <w:r>
              <w:rPr>
                <w:rFonts w:asciiTheme="minorHAnsi" w:hAnsiTheme="minorHAnsi" w:cstheme="minorHAnsi"/>
                <w:sz w:val="20"/>
              </w:rPr>
              <w:t>-2</w:t>
            </w:r>
            <w:r w:rsidR="008D2F7D" w:rsidRPr="008D2F7D">
              <w:rPr>
                <w:rFonts w:asciiTheme="minorHAnsi" w:hAnsiTheme="minorHAnsi" w:cstheme="minorHAnsi"/>
                <w:sz w:val="20"/>
              </w:rPr>
              <w:t>,</w:t>
            </w:r>
            <w:r>
              <w:rPr>
                <w:rFonts w:asciiTheme="minorHAnsi" w:hAnsiTheme="minorHAnsi" w:cstheme="minorHAnsi"/>
                <w:sz w:val="20"/>
              </w:rPr>
              <w:t>5</w:t>
            </w:r>
          </w:p>
        </w:tc>
        <w:tc>
          <w:tcPr>
            <w:tcW w:w="2822" w:type="dxa"/>
            <w:vAlign w:val="center"/>
          </w:tcPr>
          <w:p w:rsidR="008D2F7D" w:rsidRPr="008D2F7D" w:rsidRDefault="008D2F7D" w:rsidP="00F34283">
            <w:pPr>
              <w:jc w:val="center"/>
              <w:rPr>
                <w:rFonts w:asciiTheme="minorHAnsi" w:hAnsiTheme="minorHAnsi" w:cstheme="minorHAnsi"/>
                <w:sz w:val="20"/>
              </w:rPr>
            </w:pPr>
            <w:r w:rsidRPr="008D2F7D">
              <w:rPr>
                <w:rFonts w:asciiTheme="minorHAnsi" w:hAnsiTheme="minorHAnsi" w:cstheme="minorHAnsi"/>
                <w:sz w:val="20"/>
              </w:rPr>
              <w:t>-</w:t>
            </w:r>
          </w:p>
        </w:tc>
      </w:tr>
      <w:tr w:rsidR="008D2F7D" w:rsidRPr="008D2F7D" w:rsidTr="00575691">
        <w:trPr>
          <w:trHeight w:val="283"/>
          <w:jc w:val="center"/>
        </w:trPr>
        <w:tc>
          <w:tcPr>
            <w:tcW w:w="2717" w:type="dxa"/>
            <w:vAlign w:val="center"/>
          </w:tcPr>
          <w:p w:rsidR="008D2F7D" w:rsidRPr="008D2F7D" w:rsidRDefault="008D2F7D" w:rsidP="00F34283">
            <w:pPr>
              <w:jc w:val="left"/>
              <w:rPr>
                <w:rFonts w:asciiTheme="minorHAnsi" w:hAnsiTheme="minorHAnsi" w:cstheme="minorHAnsi"/>
                <w:sz w:val="20"/>
              </w:rPr>
            </w:pPr>
            <w:r w:rsidRPr="008D2F7D">
              <w:rPr>
                <w:rFonts w:asciiTheme="minorHAnsi" w:hAnsiTheme="minorHAnsi" w:cstheme="minorHAnsi"/>
                <w:sz w:val="20"/>
              </w:rPr>
              <w:t>Sicilia</w:t>
            </w:r>
          </w:p>
        </w:tc>
        <w:tc>
          <w:tcPr>
            <w:tcW w:w="2821" w:type="dxa"/>
            <w:vAlign w:val="center"/>
          </w:tcPr>
          <w:p w:rsidR="008D2F7D" w:rsidRPr="008D2F7D" w:rsidRDefault="00E44897" w:rsidP="00F34283">
            <w:pPr>
              <w:jc w:val="center"/>
              <w:rPr>
                <w:rFonts w:asciiTheme="minorHAnsi" w:hAnsiTheme="minorHAnsi" w:cstheme="minorHAnsi"/>
                <w:sz w:val="20"/>
              </w:rPr>
            </w:pPr>
            <w:r>
              <w:rPr>
                <w:rFonts w:asciiTheme="minorHAnsi" w:hAnsiTheme="minorHAnsi" w:cstheme="minorHAnsi"/>
                <w:sz w:val="20"/>
              </w:rPr>
              <w:t>-1,9</w:t>
            </w:r>
          </w:p>
        </w:tc>
        <w:tc>
          <w:tcPr>
            <w:tcW w:w="2822" w:type="dxa"/>
            <w:vAlign w:val="center"/>
          </w:tcPr>
          <w:p w:rsidR="008D2F7D" w:rsidRPr="008D2F7D" w:rsidRDefault="008D2F7D" w:rsidP="00F34283">
            <w:pPr>
              <w:jc w:val="center"/>
              <w:rPr>
                <w:rFonts w:asciiTheme="minorHAnsi" w:hAnsiTheme="minorHAnsi" w:cstheme="minorHAnsi"/>
                <w:sz w:val="20"/>
              </w:rPr>
            </w:pPr>
            <w:r w:rsidRPr="008D2F7D">
              <w:rPr>
                <w:rFonts w:asciiTheme="minorHAnsi" w:hAnsiTheme="minorHAnsi" w:cstheme="minorHAnsi"/>
                <w:sz w:val="20"/>
              </w:rPr>
              <w:t>-</w:t>
            </w:r>
          </w:p>
        </w:tc>
      </w:tr>
      <w:tr w:rsidR="008D2F7D" w:rsidRPr="008D2F7D" w:rsidTr="00575691">
        <w:trPr>
          <w:trHeight w:val="283"/>
          <w:jc w:val="center"/>
        </w:trPr>
        <w:tc>
          <w:tcPr>
            <w:tcW w:w="2717" w:type="dxa"/>
            <w:vAlign w:val="center"/>
          </w:tcPr>
          <w:p w:rsidR="008D2F7D" w:rsidRPr="008D2F7D" w:rsidRDefault="008D2F7D" w:rsidP="00F34283">
            <w:pPr>
              <w:jc w:val="left"/>
              <w:rPr>
                <w:rFonts w:asciiTheme="minorHAnsi" w:hAnsiTheme="minorHAnsi" w:cstheme="minorHAnsi"/>
                <w:sz w:val="20"/>
              </w:rPr>
            </w:pPr>
            <w:r w:rsidRPr="008D2F7D">
              <w:rPr>
                <w:rFonts w:asciiTheme="minorHAnsi" w:hAnsiTheme="minorHAnsi" w:cstheme="minorHAnsi"/>
                <w:sz w:val="20"/>
              </w:rPr>
              <w:t>Toscana</w:t>
            </w:r>
          </w:p>
        </w:tc>
        <w:tc>
          <w:tcPr>
            <w:tcW w:w="2821" w:type="dxa"/>
            <w:vAlign w:val="center"/>
          </w:tcPr>
          <w:p w:rsidR="008D2F7D" w:rsidRPr="008D2F7D" w:rsidRDefault="008D2F7D" w:rsidP="00F34283">
            <w:pPr>
              <w:jc w:val="center"/>
              <w:rPr>
                <w:rFonts w:asciiTheme="minorHAnsi" w:hAnsiTheme="minorHAnsi" w:cstheme="minorHAnsi"/>
                <w:sz w:val="20"/>
              </w:rPr>
            </w:pPr>
            <w:r w:rsidRPr="008D2F7D">
              <w:rPr>
                <w:rFonts w:asciiTheme="minorHAnsi" w:hAnsiTheme="minorHAnsi" w:cstheme="minorHAnsi"/>
                <w:sz w:val="20"/>
              </w:rPr>
              <w:t>-2,9</w:t>
            </w:r>
          </w:p>
        </w:tc>
        <w:tc>
          <w:tcPr>
            <w:tcW w:w="2822" w:type="dxa"/>
            <w:vAlign w:val="center"/>
          </w:tcPr>
          <w:p w:rsidR="008D2F7D" w:rsidRPr="008D2F7D" w:rsidRDefault="008D2F7D" w:rsidP="00F34283">
            <w:pPr>
              <w:jc w:val="center"/>
              <w:rPr>
                <w:rFonts w:asciiTheme="minorHAnsi" w:hAnsiTheme="minorHAnsi" w:cstheme="minorHAnsi"/>
                <w:sz w:val="20"/>
              </w:rPr>
            </w:pPr>
            <w:r w:rsidRPr="008D2F7D">
              <w:rPr>
                <w:rFonts w:asciiTheme="minorHAnsi" w:hAnsiTheme="minorHAnsi" w:cstheme="minorHAnsi"/>
                <w:sz w:val="20"/>
              </w:rPr>
              <w:t>-</w:t>
            </w:r>
          </w:p>
        </w:tc>
      </w:tr>
      <w:tr w:rsidR="008D2F7D" w:rsidRPr="008D2F7D" w:rsidTr="00575691">
        <w:trPr>
          <w:trHeight w:val="283"/>
          <w:jc w:val="center"/>
        </w:trPr>
        <w:tc>
          <w:tcPr>
            <w:tcW w:w="2717" w:type="dxa"/>
            <w:vAlign w:val="center"/>
          </w:tcPr>
          <w:p w:rsidR="008D2F7D" w:rsidRPr="008D2F7D" w:rsidRDefault="008D2F7D" w:rsidP="00F34283">
            <w:pPr>
              <w:jc w:val="left"/>
              <w:rPr>
                <w:rFonts w:asciiTheme="minorHAnsi" w:hAnsiTheme="minorHAnsi" w:cstheme="minorHAnsi"/>
                <w:sz w:val="20"/>
              </w:rPr>
            </w:pPr>
            <w:r w:rsidRPr="008D2F7D">
              <w:rPr>
                <w:rFonts w:asciiTheme="minorHAnsi" w:hAnsiTheme="minorHAnsi" w:cstheme="minorHAnsi"/>
                <w:sz w:val="20"/>
              </w:rPr>
              <w:t>Trentino Alto-Adige</w:t>
            </w:r>
          </w:p>
        </w:tc>
        <w:tc>
          <w:tcPr>
            <w:tcW w:w="2821" w:type="dxa"/>
            <w:vAlign w:val="center"/>
          </w:tcPr>
          <w:p w:rsidR="008D2F7D" w:rsidRPr="008D2F7D" w:rsidRDefault="008D2F7D" w:rsidP="00F34283">
            <w:pPr>
              <w:jc w:val="center"/>
              <w:rPr>
                <w:rFonts w:asciiTheme="minorHAnsi" w:hAnsiTheme="minorHAnsi" w:cstheme="minorHAnsi"/>
                <w:sz w:val="20"/>
              </w:rPr>
            </w:pPr>
            <w:r w:rsidRPr="008D2F7D">
              <w:rPr>
                <w:rFonts w:asciiTheme="minorHAnsi" w:hAnsiTheme="minorHAnsi" w:cstheme="minorHAnsi"/>
                <w:sz w:val="20"/>
              </w:rPr>
              <w:t>-</w:t>
            </w:r>
          </w:p>
        </w:tc>
        <w:tc>
          <w:tcPr>
            <w:tcW w:w="2822" w:type="dxa"/>
            <w:vAlign w:val="center"/>
          </w:tcPr>
          <w:p w:rsidR="008D2F7D" w:rsidRPr="008D2F7D" w:rsidRDefault="00E44897" w:rsidP="00F34283">
            <w:pPr>
              <w:jc w:val="center"/>
              <w:rPr>
                <w:rFonts w:asciiTheme="minorHAnsi" w:hAnsiTheme="minorHAnsi" w:cstheme="minorHAnsi"/>
                <w:sz w:val="20"/>
              </w:rPr>
            </w:pPr>
            <w:r>
              <w:rPr>
                <w:rFonts w:asciiTheme="minorHAnsi" w:hAnsiTheme="minorHAnsi" w:cstheme="minorHAnsi"/>
                <w:sz w:val="20"/>
              </w:rPr>
              <w:t>-2</w:t>
            </w:r>
            <w:r w:rsidR="008D2F7D" w:rsidRPr="008D2F7D">
              <w:rPr>
                <w:rFonts w:asciiTheme="minorHAnsi" w:hAnsiTheme="minorHAnsi" w:cstheme="minorHAnsi"/>
                <w:sz w:val="20"/>
              </w:rPr>
              <w:t>,</w:t>
            </w:r>
            <w:r>
              <w:rPr>
                <w:rFonts w:asciiTheme="minorHAnsi" w:hAnsiTheme="minorHAnsi" w:cstheme="minorHAnsi"/>
                <w:sz w:val="20"/>
              </w:rPr>
              <w:t>6</w:t>
            </w:r>
          </w:p>
        </w:tc>
      </w:tr>
      <w:tr w:rsidR="008D2F7D" w:rsidRPr="008D2F7D" w:rsidTr="00575691">
        <w:trPr>
          <w:trHeight w:val="283"/>
          <w:jc w:val="center"/>
        </w:trPr>
        <w:tc>
          <w:tcPr>
            <w:tcW w:w="2717" w:type="dxa"/>
            <w:vAlign w:val="center"/>
          </w:tcPr>
          <w:p w:rsidR="008D2F7D" w:rsidRPr="008D2F7D" w:rsidRDefault="008D2F7D" w:rsidP="00F34283">
            <w:pPr>
              <w:jc w:val="left"/>
              <w:rPr>
                <w:rFonts w:asciiTheme="minorHAnsi" w:hAnsiTheme="minorHAnsi" w:cstheme="minorHAnsi"/>
                <w:sz w:val="20"/>
              </w:rPr>
            </w:pPr>
            <w:r w:rsidRPr="008D2F7D">
              <w:rPr>
                <w:rFonts w:asciiTheme="minorHAnsi" w:hAnsiTheme="minorHAnsi" w:cstheme="minorHAnsi"/>
                <w:sz w:val="20"/>
              </w:rPr>
              <w:t>Umbria</w:t>
            </w:r>
          </w:p>
        </w:tc>
        <w:tc>
          <w:tcPr>
            <w:tcW w:w="2821" w:type="dxa"/>
            <w:vAlign w:val="center"/>
          </w:tcPr>
          <w:p w:rsidR="008D2F7D" w:rsidRPr="008D2F7D" w:rsidRDefault="008D2F7D" w:rsidP="00F34283">
            <w:pPr>
              <w:jc w:val="center"/>
              <w:rPr>
                <w:rFonts w:asciiTheme="minorHAnsi" w:hAnsiTheme="minorHAnsi" w:cstheme="minorHAnsi"/>
                <w:sz w:val="20"/>
              </w:rPr>
            </w:pPr>
            <w:r w:rsidRPr="008D2F7D">
              <w:rPr>
                <w:rFonts w:asciiTheme="minorHAnsi" w:hAnsiTheme="minorHAnsi" w:cstheme="minorHAnsi"/>
                <w:sz w:val="20"/>
              </w:rPr>
              <w:t>-</w:t>
            </w:r>
          </w:p>
        </w:tc>
        <w:tc>
          <w:tcPr>
            <w:tcW w:w="2822" w:type="dxa"/>
            <w:vAlign w:val="center"/>
          </w:tcPr>
          <w:p w:rsidR="008D2F7D" w:rsidRPr="008D2F7D" w:rsidRDefault="00E44897" w:rsidP="00F34283">
            <w:pPr>
              <w:jc w:val="center"/>
              <w:rPr>
                <w:rFonts w:asciiTheme="minorHAnsi" w:hAnsiTheme="minorHAnsi" w:cstheme="minorHAnsi"/>
                <w:sz w:val="20"/>
              </w:rPr>
            </w:pPr>
            <w:r>
              <w:rPr>
                <w:rFonts w:asciiTheme="minorHAnsi" w:hAnsiTheme="minorHAnsi" w:cstheme="minorHAnsi"/>
                <w:sz w:val="20"/>
              </w:rPr>
              <w:t>-4</w:t>
            </w:r>
            <w:r w:rsidR="008D2F7D" w:rsidRPr="008D2F7D">
              <w:rPr>
                <w:rFonts w:asciiTheme="minorHAnsi" w:hAnsiTheme="minorHAnsi" w:cstheme="minorHAnsi"/>
                <w:sz w:val="20"/>
              </w:rPr>
              <w:t>,</w:t>
            </w:r>
            <w:r>
              <w:rPr>
                <w:rFonts w:asciiTheme="minorHAnsi" w:hAnsiTheme="minorHAnsi" w:cstheme="minorHAnsi"/>
                <w:sz w:val="20"/>
              </w:rPr>
              <w:t>6</w:t>
            </w:r>
          </w:p>
        </w:tc>
      </w:tr>
      <w:tr w:rsidR="008D2F7D" w:rsidRPr="008D2F7D" w:rsidTr="00575691">
        <w:trPr>
          <w:trHeight w:val="283"/>
          <w:jc w:val="center"/>
        </w:trPr>
        <w:tc>
          <w:tcPr>
            <w:tcW w:w="2717" w:type="dxa"/>
            <w:tcBorders>
              <w:bottom w:val="nil"/>
            </w:tcBorders>
            <w:vAlign w:val="center"/>
          </w:tcPr>
          <w:p w:rsidR="008D2F7D" w:rsidRPr="008D2F7D" w:rsidRDefault="008D2F7D" w:rsidP="00F34283">
            <w:pPr>
              <w:jc w:val="left"/>
              <w:rPr>
                <w:rFonts w:asciiTheme="minorHAnsi" w:hAnsiTheme="minorHAnsi" w:cstheme="minorHAnsi"/>
                <w:sz w:val="20"/>
              </w:rPr>
            </w:pPr>
            <w:r w:rsidRPr="008D2F7D">
              <w:rPr>
                <w:rFonts w:asciiTheme="minorHAnsi" w:hAnsiTheme="minorHAnsi" w:cstheme="minorHAnsi"/>
                <w:sz w:val="20"/>
              </w:rPr>
              <w:t>Valle d'Aosta</w:t>
            </w:r>
          </w:p>
        </w:tc>
        <w:tc>
          <w:tcPr>
            <w:tcW w:w="2821" w:type="dxa"/>
            <w:tcBorders>
              <w:bottom w:val="nil"/>
            </w:tcBorders>
            <w:vAlign w:val="center"/>
          </w:tcPr>
          <w:p w:rsidR="008D2F7D" w:rsidRPr="008D2F7D" w:rsidRDefault="008D2F7D" w:rsidP="00F34283">
            <w:pPr>
              <w:jc w:val="center"/>
              <w:rPr>
                <w:rFonts w:asciiTheme="minorHAnsi" w:hAnsiTheme="minorHAnsi" w:cstheme="minorHAnsi"/>
                <w:sz w:val="20"/>
              </w:rPr>
            </w:pPr>
            <w:r w:rsidRPr="008D2F7D">
              <w:rPr>
                <w:rFonts w:asciiTheme="minorHAnsi" w:hAnsiTheme="minorHAnsi" w:cstheme="minorHAnsi"/>
                <w:sz w:val="20"/>
              </w:rPr>
              <w:t>-</w:t>
            </w:r>
          </w:p>
        </w:tc>
        <w:tc>
          <w:tcPr>
            <w:tcW w:w="2822" w:type="dxa"/>
            <w:tcBorders>
              <w:bottom w:val="nil"/>
            </w:tcBorders>
            <w:vAlign w:val="center"/>
          </w:tcPr>
          <w:p w:rsidR="008D2F7D" w:rsidRPr="008D2F7D" w:rsidRDefault="008D2F7D" w:rsidP="00F34283">
            <w:pPr>
              <w:jc w:val="center"/>
              <w:rPr>
                <w:rFonts w:asciiTheme="minorHAnsi" w:hAnsiTheme="minorHAnsi" w:cstheme="minorHAnsi"/>
                <w:sz w:val="20"/>
              </w:rPr>
            </w:pPr>
            <w:r w:rsidRPr="008D2F7D">
              <w:rPr>
                <w:rFonts w:asciiTheme="minorHAnsi" w:hAnsiTheme="minorHAnsi" w:cstheme="minorHAnsi"/>
                <w:sz w:val="20"/>
              </w:rPr>
              <w:t>-2,9</w:t>
            </w:r>
          </w:p>
        </w:tc>
      </w:tr>
      <w:tr w:rsidR="008D2F7D" w:rsidRPr="008D2F7D" w:rsidTr="00575691">
        <w:trPr>
          <w:trHeight w:val="283"/>
          <w:jc w:val="center"/>
        </w:trPr>
        <w:tc>
          <w:tcPr>
            <w:tcW w:w="2717" w:type="dxa"/>
            <w:tcBorders>
              <w:top w:val="nil"/>
              <w:bottom w:val="single" w:sz="8" w:space="0" w:color="auto"/>
            </w:tcBorders>
            <w:vAlign w:val="center"/>
          </w:tcPr>
          <w:p w:rsidR="008D2F7D" w:rsidRPr="008D2F7D" w:rsidRDefault="008D2F7D" w:rsidP="00F34283">
            <w:pPr>
              <w:jc w:val="left"/>
              <w:rPr>
                <w:rFonts w:asciiTheme="minorHAnsi" w:hAnsiTheme="minorHAnsi" w:cstheme="minorHAnsi"/>
                <w:sz w:val="20"/>
              </w:rPr>
            </w:pPr>
            <w:r w:rsidRPr="008D2F7D">
              <w:rPr>
                <w:rFonts w:asciiTheme="minorHAnsi" w:hAnsiTheme="minorHAnsi" w:cstheme="minorHAnsi"/>
                <w:sz w:val="20"/>
              </w:rPr>
              <w:t>Veneto</w:t>
            </w:r>
          </w:p>
        </w:tc>
        <w:tc>
          <w:tcPr>
            <w:tcW w:w="2821" w:type="dxa"/>
            <w:tcBorders>
              <w:top w:val="nil"/>
              <w:bottom w:val="single" w:sz="8" w:space="0" w:color="auto"/>
            </w:tcBorders>
            <w:vAlign w:val="center"/>
          </w:tcPr>
          <w:p w:rsidR="008D2F7D" w:rsidRPr="008D2F7D" w:rsidRDefault="008D2F7D" w:rsidP="00E44897">
            <w:pPr>
              <w:jc w:val="center"/>
              <w:rPr>
                <w:rFonts w:asciiTheme="minorHAnsi" w:hAnsiTheme="minorHAnsi" w:cstheme="minorHAnsi"/>
                <w:sz w:val="20"/>
              </w:rPr>
            </w:pPr>
            <w:r w:rsidRPr="008D2F7D">
              <w:rPr>
                <w:rFonts w:asciiTheme="minorHAnsi" w:hAnsiTheme="minorHAnsi" w:cstheme="minorHAnsi"/>
                <w:sz w:val="20"/>
              </w:rPr>
              <w:t>-</w:t>
            </w:r>
            <w:r w:rsidR="00E44897">
              <w:rPr>
                <w:rFonts w:asciiTheme="minorHAnsi" w:hAnsiTheme="minorHAnsi" w:cstheme="minorHAnsi"/>
                <w:sz w:val="20"/>
              </w:rPr>
              <w:t>1</w:t>
            </w:r>
            <w:r w:rsidRPr="008D2F7D">
              <w:rPr>
                <w:rFonts w:asciiTheme="minorHAnsi" w:hAnsiTheme="minorHAnsi" w:cstheme="minorHAnsi"/>
                <w:sz w:val="20"/>
              </w:rPr>
              <w:t>,</w:t>
            </w:r>
            <w:r w:rsidR="00E44897">
              <w:rPr>
                <w:rFonts w:asciiTheme="minorHAnsi" w:hAnsiTheme="minorHAnsi" w:cstheme="minorHAnsi"/>
                <w:sz w:val="20"/>
              </w:rPr>
              <w:t>8</w:t>
            </w:r>
          </w:p>
        </w:tc>
        <w:tc>
          <w:tcPr>
            <w:tcW w:w="2822" w:type="dxa"/>
            <w:tcBorders>
              <w:top w:val="nil"/>
              <w:bottom w:val="single" w:sz="8" w:space="0" w:color="auto"/>
            </w:tcBorders>
            <w:vAlign w:val="center"/>
          </w:tcPr>
          <w:p w:rsidR="008D2F7D" w:rsidRPr="008D2F7D" w:rsidRDefault="008D2F7D" w:rsidP="00F34283">
            <w:pPr>
              <w:jc w:val="center"/>
              <w:rPr>
                <w:rFonts w:asciiTheme="minorHAnsi" w:hAnsiTheme="minorHAnsi" w:cstheme="minorHAnsi"/>
                <w:sz w:val="20"/>
              </w:rPr>
            </w:pPr>
            <w:r w:rsidRPr="008D2F7D">
              <w:rPr>
                <w:rFonts w:asciiTheme="minorHAnsi" w:hAnsiTheme="minorHAnsi" w:cstheme="minorHAnsi"/>
                <w:sz w:val="20"/>
              </w:rPr>
              <w:t>-</w:t>
            </w:r>
            <w:r w:rsidR="00E44897">
              <w:rPr>
                <w:rFonts w:asciiTheme="minorHAnsi" w:hAnsiTheme="minorHAnsi" w:cstheme="minorHAnsi"/>
                <w:sz w:val="20"/>
              </w:rPr>
              <w:t>1</w:t>
            </w:r>
            <w:r w:rsidRPr="008D2F7D">
              <w:rPr>
                <w:rFonts w:asciiTheme="minorHAnsi" w:hAnsiTheme="minorHAnsi" w:cstheme="minorHAnsi"/>
                <w:sz w:val="20"/>
              </w:rPr>
              <w:t>,</w:t>
            </w:r>
            <w:r w:rsidR="00E44897">
              <w:rPr>
                <w:rFonts w:asciiTheme="minorHAnsi" w:hAnsiTheme="minorHAnsi" w:cstheme="minorHAnsi"/>
                <w:sz w:val="20"/>
              </w:rPr>
              <w:t>4</w:t>
            </w:r>
          </w:p>
        </w:tc>
      </w:tr>
    </w:tbl>
    <w:p w:rsidR="00F335F2" w:rsidRDefault="005025ED" w:rsidP="003A7623">
      <w:pPr>
        <w:spacing w:before="60"/>
        <w:ind w:firstLine="708"/>
        <w:rPr>
          <w:rFonts w:ascii="Calibri" w:hAnsi="Calibri" w:cs="Arial"/>
          <w:b/>
          <w:bCs/>
          <w:color w:val="000000"/>
          <w:sz w:val="22"/>
          <w:szCs w:val="22"/>
        </w:rPr>
      </w:pPr>
      <w:r w:rsidRPr="008D2F7D">
        <w:rPr>
          <w:rFonts w:asciiTheme="minorHAnsi" w:eastAsia="Calibri" w:hAnsiTheme="minorHAnsi" w:cstheme="minorHAnsi"/>
          <w:sz w:val="18"/>
        </w:rPr>
        <w:t>Fonte: Nomisma e Fimaa-Confcommercio</w:t>
      </w:r>
    </w:p>
    <w:p w:rsidR="00575691" w:rsidRPr="003D3270" w:rsidRDefault="00575691" w:rsidP="007469F5">
      <w:pPr>
        <w:jc w:val="center"/>
        <w:rPr>
          <w:rFonts w:ascii="Calibri" w:hAnsi="Calibri" w:cs="Arial"/>
          <w:b/>
          <w:bCs/>
          <w:sz w:val="22"/>
          <w:szCs w:val="22"/>
        </w:rPr>
      </w:pPr>
      <w:r w:rsidRPr="003D3270">
        <w:rPr>
          <w:rFonts w:ascii="Calibri" w:hAnsi="Calibri" w:cs="Arial"/>
          <w:b/>
          <w:bCs/>
          <w:sz w:val="22"/>
          <w:szCs w:val="22"/>
        </w:rPr>
        <w:lastRenderedPageBreak/>
        <w:t xml:space="preserve">Tavola </w:t>
      </w:r>
      <w:r w:rsidR="00915F00" w:rsidRPr="003D3270">
        <w:rPr>
          <w:rFonts w:ascii="Calibri" w:hAnsi="Calibri" w:cs="Arial"/>
          <w:b/>
          <w:bCs/>
          <w:sz w:val="22"/>
          <w:szCs w:val="22"/>
        </w:rPr>
        <w:t>C</w:t>
      </w:r>
    </w:p>
    <w:p w:rsidR="000251ED" w:rsidRPr="003D3270" w:rsidRDefault="000251ED" w:rsidP="000251ED">
      <w:pPr>
        <w:jc w:val="center"/>
        <w:rPr>
          <w:rFonts w:ascii="Calibri" w:hAnsi="Calibri" w:cs="Arial"/>
          <w:b/>
          <w:bCs/>
          <w:sz w:val="22"/>
          <w:szCs w:val="22"/>
        </w:rPr>
      </w:pPr>
    </w:p>
    <w:p w:rsidR="00E80022" w:rsidRPr="003D3270" w:rsidRDefault="00BB1615" w:rsidP="000251ED">
      <w:pPr>
        <w:jc w:val="center"/>
        <w:rPr>
          <w:rFonts w:asciiTheme="minorHAnsi" w:hAnsiTheme="minorHAnsi" w:cstheme="minorHAnsi"/>
          <w:b/>
          <w:bCs/>
          <w:sz w:val="22"/>
          <w:szCs w:val="22"/>
        </w:rPr>
      </w:pPr>
      <w:r w:rsidRPr="003D3270">
        <w:rPr>
          <w:rFonts w:asciiTheme="minorHAnsi" w:hAnsiTheme="minorHAnsi" w:cstheme="minorHAnsi"/>
          <w:b/>
          <w:bCs/>
          <w:sz w:val="22"/>
          <w:szCs w:val="22"/>
        </w:rPr>
        <w:t>Prime 1</w:t>
      </w:r>
      <w:r w:rsidR="00E44897">
        <w:rPr>
          <w:rFonts w:asciiTheme="minorHAnsi" w:hAnsiTheme="minorHAnsi" w:cstheme="minorHAnsi"/>
          <w:b/>
          <w:bCs/>
          <w:sz w:val="22"/>
          <w:szCs w:val="22"/>
        </w:rPr>
        <w:t>3</w:t>
      </w:r>
      <w:r w:rsidRPr="003D3270">
        <w:rPr>
          <w:rFonts w:asciiTheme="minorHAnsi" w:hAnsiTheme="minorHAnsi" w:cstheme="minorHAnsi"/>
          <w:b/>
          <w:bCs/>
          <w:sz w:val="22"/>
          <w:szCs w:val="22"/>
        </w:rPr>
        <w:t xml:space="preserve"> località per prezzi massimi di compravendita di appartamenti top o nuovi</w:t>
      </w:r>
    </w:p>
    <w:p w:rsidR="000251ED" w:rsidRPr="003D3270" w:rsidRDefault="000251ED" w:rsidP="000251ED">
      <w:pPr>
        <w:jc w:val="center"/>
        <w:rPr>
          <w:rFonts w:asciiTheme="minorHAnsi" w:hAnsiTheme="minorHAnsi" w:cstheme="minorHAnsi"/>
          <w:i/>
          <w:iCs/>
          <w:sz w:val="22"/>
          <w:szCs w:val="22"/>
        </w:rPr>
      </w:pPr>
      <w:r w:rsidRPr="003D3270">
        <w:rPr>
          <w:rFonts w:asciiTheme="minorHAnsi" w:hAnsiTheme="minorHAnsi" w:cstheme="minorHAnsi"/>
          <w:i/>
          <w:iCs/>
          <w:sz w:val="22"/>
          <w:szCs w:val="22"/>
        </w:rPr>
        <w:t>(</w:t>
      </w:r>
      <w:r w:rsidR="00856627" w:rsidRPr="003D3270">
        <w:rPr>
          <w:rFonts w:asciiTheme="minorHAnsi" w:hAnsiTheme="minorHAnsi" w:cstheme="minorHAnsi"/>
          <w:i/>
          <w:iCs/>
          <w:sz w:val="22"/>
          <w:szCs w:val="22"/>
        </w:rPr>
        <w:t>€/</w:t>
      </w:r>
      <w:r w:rsidRPr="003D3270">
        <w:rPr>
          <w:rFonts w:asciiTheme="minorHAnsi" w:hAnsiTheme="minorHAnsi" w:cstheme="minorHAnsi"/>
          <w:i/>
          <w:iCs/>
          <w:sz w:val="22"/>
          <w:szCs w:val="22"/>
        </w:rPr>
        <w:t>mq)</w:t>
      </w:r>
    </w:p>
    <w:p w:rsidR="00F910D0" w:rsidRPr="006C6E61" w:rsidRDefault="00F910D0" w:rsidP="003B5CE0">
      <w:pPr>
        <w:jc w:val="center"/>
        <w:rPr>
          <w:rFonts w:asciiTheme="minorHAnsi" w:hAnsiTheme="minorHAnsi" w:cstheme="minorHAnsi"/>
          <w:iCs/>
          <w:sz w:val="16"/>
          <w:szCs w:val="16"/>
        </w:rPr>
      </w:pPr>
    </w:p>
    <w:tbl>
      <w:tblPr>
        <w:tblW w:w="0" w:type="auto"/>
        <w:jc w:val="center"/>
        <w:tblLayout w:type="fixed"/>
        <w:tblLook w:val="04A0" w:firstRow="1" w:lastRow="0" w:firstColumn="1" w:lastColumn="0" w:noHBand="0" w:noVBand="1"/>
      </w:tblPr>
      <w:tblGrid>
        <w:gridCol w:w="3189"/>
        <w:gridCol w:w="2126"/>
        <w:gridCol w:w="3045"/>
      </w:tblGrid>
      <w:tr w:rsidR="009D59AA" w:rsidRPr="003D3270" w:rsidTr="00F910D0">
        <w:trPr>
          <w:trHeight w:val="283"/>
          <w:jc w:val="center"/>
        </w:trPr>
        <w:tc>
          <w:tcPr>
            <w:tcW w:w="3189" w:type="dxa"/>
            <w:tcBorders>
              <w:top w:val="single" w:sz="8" w:space="0" w:color="auto"/>
              <w:left w:val="nil"/>
              <w:bottom w:val="single" w:sz="8" w:space="0" w:color="auto"/>
              <w:right w:val="nil"/>
            </w:tcBorders>
            <w:shd w:val="clear" w:color="auto" w:fill="D9D9D9" w:themeFill="background1" w:themeFillShade="D9"/>
            <w:vAlign w:val="center"/>
            <w:hideMark/>
          </w:tcPr>
          <w:p w:rsidR="00F910D0" w:rsidRPr="003D3270" w:rsidRDefault="00F910D0">
            <w:pPr>
              <w:autoSpaceDE w:val="0"/>
              <w:autoSpaceDN w:val="0"/>
              <w:adjustRightInd w:val="0"/>
              <w:spacing w:line="276" w:lineRule="auto"/>
              <w:jc w:val="left"/>
              <w:rPr>
                <w:rFonts w:asciiTheme="minorHAnsi" w:hAnsiTheme="minorHAnsi" w:cstheme="minorHAnsi"/>
                <w:sz w:val="20"/>
                <w:lang w:eastAsia="en-US"/>
              </w:rPr>
            </w:pPr>
            <w:r w:rsidRPr="003D3270">
              <w:rPr>
                <w:rFonts w:asciiTheme="minorHAnsi" w:hAnsiTheme="minorHAnsi" w:cstheme="minorHAnsi"/>
                <w:b/>
                <w:bCs/>
                <w:sz w:val="20"/>
                <w:lang w:eastAsia="en-US"/>
              </w:rPr>
              <w:t>Località</w:t>
            </w:r>
          </w:p>
        </w:tc>
        <w:tc>
          <w:tcPr>
            <w:tcW w:w="2126" w:type="dxa"/>
            <w:tcBorders>
              <w:top w:val="single" w:sz="8" w:space="0" w:color="auto"/>
              <w:left w:val="nil"/>
              <w:bottom w:val="single" w:sz="8" w:space="0" w:color="auto"/>
              <w:right w:val="nil"/>
            </w:tcBorders>
            <w:shd w:val="clear" w:color="auto" w:fill="D9D9D9" w:themeFill="background1" w:themeFillShade="D9"/>
            <w:vAlign w:val="center"/>
            <w:hideMark/>
          </w:tcPr>
          <w:p w:rsidR="00F910D0" w:rsidRPr="003D3270" w:rsidRDefault="00F910D0" w:rsidP="006C6E61">
            <w:pPr>
              <w:autoSpaceDE w:val="0"/>
              <w:autoSpaceDN w:val="0"/>
              <w:adjustRightInd w:val="0"/>
              <w:spacing w:line="276" w:lineRule="auto"/>
              <w:jc w:val="center"/>
              <w:rPr>
                <w:rFonts w:asciiTheme="minorHAnsi" w:hAnsiTheme="minorHAnsi" w:cstheme="minorHAnsi"/>
                <w:sz w:val="20"/>
                <w:lang w:eastAsia="en-US"/>
              </w:rPr>
            </w:pPr>
            <w:r w:rsidRPr="003D3270">
              <w:rPr>
                <w:rFonts w:asciiTheme="minorHAnsi" w:hAnsiTheme="minorHAnsi" w:cstheme="minorHAnsi"/>
                <w:b/>
                <w:bCs/>
                <w:sz w:val="20"/>
                <w:lang w:eastAsia="en-US"/>
              </w:rPr>
              <w:t>Prezzi</w:t>
            </w:r>
            <w:r w:rsidR="006C6E61">
              <w:rPr>
                <w:rFonts w:asciiTheme="minorHAnsi" w:hAnsiTheme="minorHAnsi" w:cstheme="minorHAnsi"/>
                <w:b/>
                <w:bCs/>
                <w:sz w:val="20"/>
                <w:lang w:eastAsia="en-US"/>
              </w:rPr>
              <w:br/>
            </w:r>
            <w:r w:rsidRPr="006C6E61">
              <w:rPr>
                <w:rFonts w:asciiTheme="minorHAnsi" w:hAnsiTheme="minorHAnsi" w:cstheme="minorHAnsi"/>
                <w:bCs/>
                <w:i/>
                <w:sz w:val="20"/>
                <w:lang w:eastAsia="en-US"/>
              </w:rPr>
              <w:t>(€/mq)</w:t>
            </w:r>
          </w:p>
        </w:tc>
        <w:tc>
          <w:tcPr>
            <w:tcW w:w="3045" w:type="dxa"/>
            <w:tcBorders>
              <w:top w:val="single" w:sz="8" w:space="0" w:color="auto"/>
              <w:left w:val="nil"/>
              <w:bottom w:val="single" w:sz="8" w:space="0" w:color="auto"/>
              <w:right w:val="nil"/>
            </w:tcBorders>
            <w:shd w:val="clear" w:color="auto" w:fill="D9D9D9" w:themeFill="background1" w:themeFillShade="D9"/>
            <w:vAlign w:val="center"/>
            <w:hideMark/>
          </w:tcPr>
          <w:p w:rsidR="00F910D0" w:rsidRPr="003D3270" w:rsidRDefault="00F910D0" w:rsidP="00771EF7">
            <w:pPr>
              <w:autoSpaceDE w:val="0"/>
              <w:autoSpaceDN w:val="0"/>
              <w:adjustRightInd w:val="0"/>
              <w:spacing w:line="276" w:lineRule="auto"/>
              <w:jc w:val="center"/>
              <w:rPr>
                <w:rFonts w:asciiTheme="minorHAnsi" w:hAnsiTheme="minorHAnsi" w:cstheme="minorHAnsi"/>
                <w:sz w:val="20"/>
                <w:lang w:eastAsia="en-US"/>
              </w:rPr>
            </w:pPr>
            <w:r w:rsidRPr="003D3270">
              <w:rPr>
                <w:rFonts w:asciiTheme="minorHAnsi" w:hAnsiTheme="minorHAnsi" w:cstheme="minorHAnsi"/>
                <w:b/>
                <w:bCs/>
                <w:sz w:val="20"/>
                <w:lang w:eastAsia="en-US"/>
              </w:rPr>
              <w:t xml:space="preserve">Movimento rispetto </w:t>
            </w:r>
            <w:r w:rsidR="00002C12">
              <w:rPr>
                <w:rFonts w:asciiTheme="minorHAnsi" w:hAnsiTheme="minorHAnsi" w:cstheme="minorHAnsi"/>
                <w:b/>
                <w:bCs/>
                <w:sz w:val="20"/>
                <w:lang w:eastAsia="en-US"/>
              </w:rPr>
              <w:t>alla posizione occupata nel 201</w:t>
            </w:r>
            <w:r w:rsidR="00771EF7">
              <w:rPr>
                <w:rFonts w:asciiTheme="minorHAnsi" w:hAnsiTheme="minorHAnsi" w:cstheme="minorHAnsi"/>
                <w:b/>
                <w:bCs/>
                <w:sz w:val="20"/>
                <w:lang w:eastAsia="en-US"/>
              </w:rPr>
              <w:t>6</w:t>
            </w:r>
          </w:p>
        </w:tc>
      </w:tr>
      <w:tr w:rsidR="00E44897" w:rsidRPr="003D3270" w:rsidTr="009D59AA">
        <w:trPr>
          <w:trHeight w:val="283"/>
          <w:jc w:val="center"/>
        </w:trPr>
        <w:tc>
          <w:tcPr>
            <w:tcW w:w="3189" w:type="dxa"/>
            <w:tcBorders>
              <w:top w:val="single" w:sz="8" w:space="0" w:color="auto"/>
              <w:left w:val="nil"/>
              <w:bottom w:val="nil"/>
              <w:right w:val="nil"/>
            </w:tcBorders>
            <w:vAlign w:val="center"/>
            <w:hideMark/>
          </w:tcPr>
          <w:p w:rsidR="00E44897" w:rsidRPr="006C6E61" w:rsidRDefault="00E44897" w:rsidP="00E44897">
            <w:pPr>
              <w:jc w:val="left"/>
              <w:rPr>
                <w:rFonts w:ascii="Calibri" w:hAnsi="Calibri" w:cs="Arial"/>
                <w:sz w:val="20"/>
              </w:rPr>
            </w:pPr>
            <w:r w:rsidRPr="006C6E61">
              <w:rPr>
                <w:rFonts w:ascii="Calibri" w:hAnsi="Calibri" w:cs="Arial"/>
                <w:sz w:val="20"/>
              </w:rPr>
              <w:t>1. Santa Margherita Ligure (GE)</w:t>
            </w:r>
          </w:p>
        </w:tc>
        <w:tc>
          <w:tcPr>
            <w:tcW w:w="2126" w:type="dxa"/>
            <w:tcBorders>
              <w:top w:val="single" w:sz="8" w:space="0" w:color="auto"/>
              <w:left w:val="nil"/>
              <w:bottom w:val="nil"/>
              <w:right w:val="nil"/>
            </w:tcBorders>
            <w:vAlign w:val="center"/>
          </w:tcPr>
          <w:p w:rsidR="00E44897" w:rsidRDefault="00E44897" w:rsidP="00E44897">
            <w:pPr>
              <w:ind w:right="680"/>
              <w:jc w:val="right"/>
              <w:rPr>
                <w:rFonts w:ascii="Calibri" w:hAnsi="Calibri" w:cs="Arial"/>
                <w:color w:val="000000"/>
                <w:sz w:val="20"/>
              </w:rPr>
            </w:pPr>
            <w:r>
              <w:rPr>
                <w:rFonts w:ascii="Calibri" w:hAnsi="Calibri" w:cs="Arial"/>
                <w:color w:val="000000"/>
                <w:sz w:val="20"/>
              </w:rPr>
              <w:t>13.600</w:t>
            </w:r>
          </w:p>
        </w:tc>
        <w:tc>
          <w:tcPr>
            <w:tcW w:w="3045" w:type="dxa"/>
            <w:tcBorders>
              <w:top w:val="single" w:sz="8" w:space="0" w:color="auto"/>
              <w:left w:val="nil"/>
              <w:bottom w:val="nil"/>
              <w:right w:val="nil"/>
            </w:tcBorders>
            <w:vAlign w:val="center"/>
            <w:hideMark/>
          </w:tcPr>
          <w:p w:rsidR="00E44897" w:rsidRDefault="00E44897" w:rsidP="00E44897">
            <w:pPr>
              <w:jc w:val="center"/>
              <w:rPr>
                <w:rFonts w:ascii="Calibri" w:hAnsi="Calibri" w:cs="Arial"/>
                <w:color w:val="000000"/>
                <w:sz w:val="20"/>
              </w:rPr>
            </w:pPr>
            <w:r>
              <w:rPr>
                <w:rFonts w:ascii="Calibri" w:hAnsi="Calibri" w:cs="Arial"/>
                <w:color w:val="000000"/>
                <w:sz w:val="20"/>
              </w:rPr>
              <w:t>0</w:t>
            </w:r>
          </w:p>
        </w:tc>
      </w:tr>
      <w:tr w:rsidR="00E44897" w:rsidRPr="003D3270" w:rsidTr="009D59AA">
        <w:trPr>
          <w:trHeight w:val="283"/>
          <w:jc w:val="center"/>
        </w:trPr>
        <w:tc>
          <w:tcPr>
            <w:tcW w:w="3189" w:type="dxa"/>
            <w:tcBorders>
              <w:top w:val="nil"/>
              <w:left w:val="nil"/>
              <w:bottom w:val="nil"/>
              <w:right w:val="nil"/>
            </w:tcBorders>
            <w:vAlign w:val="center"/>
            <w:hideMark/>
          </w:tcPr>
          <w:p w:rsidR="00E44897" w:rsidRPr="006C6E61" w:rsidRDefault="00E44897" w:rsidP="00E44897">
            <w:pPr>
              <w:jc w:val="left"/>
              <w:rPr>
                <w:rFonts w:ascii="Calibri" w:hAnsi="Calibri" w:cs="Arial"/>
                <w:sz w:val="20"/>
              </w:rPr>
            </w:pPr>
            <w:r w:rsidRPr="006C6E61">
              <w:rPr>
                <w:rFonts w:ascii="Calibri" w:hAnsi="Calibri" w:cs="Arial"/>
                <w:sz w:val="20"/>
              </w:rPr>
              <w:t>2. Forte dei Marmi (LU)</w:t>
            </w:r>
          </w:p>
        </w:tc>
        <w:tc>
          <w:tcPr>
            <w:tcW w:w="2126" w:type="dxa"/>
            <w:tcBorders>
              <w:top w:val="nil"/>
              <w:left w:val="nil"/>
              <w:bottom w:val="nil"/>
              <w:right w:val="nil"/>
            </w:tcBorders>
            <w:vAlign w:val="center"/>
          </w:tcPr>
          <w:p w:rsidR="00E44897" w:rsidRDefault="00E44897" w:rsidP="00E44897">
            <w:pPr>
              <w:ind w:right="680"/>
              <w:jc w:val="right"/>
              <w:rPr>
                <w:rFonts w:ascii="Calibri" w:hAnsi="Calibri" w:cs="Arial"/>
                <w:color w:val="000000"/>
                <w:sz w:val="20"/>
              </w:rPr>
            </w:pPr>
            <w:r>
              <w:rPr>
                <w:rFonts w:ascii="Calibri" w:hAnsi="Calibri" w:cs="Arial"/>
                <w:color w:val="000000"/>
                <w:sz w:val="20"/>
              </w:rPr>
              <w:t>13.100</w:t>
            </w:r>
          </w:p>
        </w:tc>
        <w:tc>
          <w:tcPr>
            <w:tcW w:w="3045" w:type="dxa"/>
            <w:tcBorders>
              <w:top w:val="nil"/>
              <w:left w:val="nil"/>
              <w:bottom w:val="nil"/>
              <w:right w:val="nil"/>
            </w:tcBorders>
            <w:vAlign w:val="center"/>
            <w:hideMark/>
          </w:tcPr>
          <w:p w:rsidR="00E44897" w:rsidRDefault="00E44897" w:rsidP="00E44897">
            <w:pPr>
              <w:jc w:val="center"/>
              <w:rPr>
                <w:rFonts w:ascii="Calibri" w:hAnsi="Calibri" w:cs="Arial"/>
                <w:color w:val="000000"/>
                <w:sz w:val="20"/>
              </w:rPr>
            </w:pPr>
            <w:r>
              <w:rPr>
                <w:rFonts w:ascii="Calibri" w:hAnsi="Calibri" w:cs="Arial"/>
                <w:color w:val="000000"/>
                <w:sz w:val="20"/>
              </w:rPr>
              <w:t>0</w:t>
            </w:r>
          </w:p>
        </w:tc>
      </w:tr>
      <w:tr w:rsidR="00E44897" w:rsidRPr="003D3270" w:rsidTr="009D59AA">
        <w:trPr>
          <w:trHeight w:val="283"/>
          <w:jc w:val="center"/>
        </w:trPr>
        <w:tc>
          <w:tcPr>
            <w:tcW w:w="3189" w:type="dxa"/>
            <w:tcBorders>
              <w:top w:val="nil"/>
              <w:left w:val="nil"/>
              <w:bottom w:val="nil"/>
              <w:right w:val="nil"/>
            </w:tcBorders>
            <w:vAlign w:val="center"/>
            <w:hideMark/>
          </w:tcPr>
          <w:p w:rsidR="00E44897" w:rsidRPr="006C6E61" w:rsidRDefault="00E44897" w:rsidP="00E44897">
            <w:pPr>
              <w:jc w:val="left"/>
              <w:rPr>
                <w:rFonts w:ascii="Calibri" w:hAnsi="Calibri" w:cs="Arial"/>
                <w:sz w:val="20"/>
              </w:rPr>
            </w:pPr>
            <w:r w:rsidRPr="006C6E61">
              <w:rPr>
                <w:rFonts w:ascii="Calibri" w:hAnsi="Calibri" w:cs="Arial"/>
                <w:sz w:val="20"/>
              </w:rPr>
              <w:t>3. Capri (NA)</w:t>
            </w:r>
          </w:p>
        </w:tc>
        <w:tc>
          <w:tcPr>
            <w:tcW w:w="2126" w:type="dxa"/>
            <w:tcBorders>
              <w:top w:val="nil"/>
              <w:left w:val="nil"/>
              <w:bottom w:val="nil"/>
              <w:right w:val="nil"/>
            </w:tcBorders>
            <w:vAlign w:val="center"/>
          </w:tcPr>
          <w:p w:rsidR="00E44897" w:rsidRDefault="00E44897" w:rsidP="00E44897">
            <w:pPr>
              <w:ind w:right="680"/>
              <w:jc w:val="right"/>
              <w:rPr>
                <w:rFonts w:ascii="Calibri" w:hAnsi="Calibri" w:cs="Arial"/>
                <w:color w:val="000000"/>
                <w:sz w:val="20"/>
              </w:rPr>
            </w:pPr>
            <w:r>
              <w:rPr>
                <w:rFonts w:ascii="Calibri" w:hAnsi="Calibri" w:cs="Arial"/>
                <w:color w:val="000000"/>
                <w:sz w:val="20"/>
              </w:rPr>
              <w:t>13.000</w:t>
            </w:r>
          </w:p>
        </w:tc>
        <w:tc>
          <w:tcPr>
            <w:tcW w:w="3045" w:type="dxa"/>
            <w:tcBorders>
              <w:top w:val="nil"/>
              <w:left w:val="nil"/>
              <w:bottom w:val="nil"/>
              <w:right w:val="nil"/>
            </w:tcBorders>
            <w:vAlign w:val="center"/>
            <w:hideMark/>
          </w:tcPr>
          <w:p w:rsidR="00E44897" w:rsidRDefault="00E44897" w:rsidP="00E44897">
            <w:pPr>
              <w:jc w:val="center"/>
              <w:rPr>
                <w:rFonts w:ascii="Calibri" w:hAnsi="Calibri" w:cs="Arial"/>
                <w:color w:val="000000"/>
                <w:sz w:val="20"/>
              </w:rPr>
            </w:pPr>
            <w:r>
              <w:rPr>
                <w:rFonts w:ascii="Calibri" w:hAnsi="Calibri" w:cs="Arial"/>
                <w:color w:val="000000"/>
                <w:sz w:val="20"/>
              </w:rPr>
              <w:t>0</w:t>
            </w:r>
          </w:p>
        </w:tc>
      </w:tr>
      <w:tr w:rsidR="00E44897" w:rsidRPr="003D3270" w:rsidTr="009D59AA">
        <w:trPr>
          <w:trHeight w:val="283"/>
          <w:jc w:val="center"/>
        </w:trPr>
        <w:tc>
          <w:tcPr>
            <w:tcW w:w="3189" w:type="dxa"/>
            <w:tcBorders>
              <w:top w:val="nil"/>
              <w:left w:val="nil"/>
              <w:bottom w:val="nil"/>
              <w:right w:val="nil"/>
            </w:tcBorders>
            <w:vAlign w:val="center"/>
            <w:hideMark/>
          </w:tcPr>
          <w:p w:rsidR="00E44897" w:rsidRPr="006C6E61" w:rsidRDefault="00E44897" w:rsidP="00E44897">
            <w:pPr>
              <w:jc w:val="left"/>
              <w:rPr>
                <w:rFonts w:ascii="Calibri" w:hAnsi="Calibri" w:cs="Arial"/>
                <w:sz w:val="20"/>
              </w:rPr>
            </w:pPr>
            <w:r w:rsidRPr="006C6E61">
              <w:rPr>
                <w:rFonts w:ascii="Calibri" w:hAnsi="Calibri" w:cs="Arial"/>
                <w:sz w:val="20"/>
              </w:rPr>
              <w:t>4. Madonna di Campiglio (TN)</w:t>
            </w:r>
          </w:p>
        </w:tc>
        <w:tc>
          <w:tcPr>
            <w:tcW w:w="2126" w:type="dxa"/>
            <w:tcBorders>
              <w:top w:val="nil"/>
              <w:left w:val="nil"/>
              <w:bottom w:val="nil"/>
              <w:right w:val="nil"/>
            </w:tcBorders>
            <w:vAlign w:val="center"/>
          </w:tcPr>
          <w:p w:rsidR="00E44897" w:rsidRDefault="00E44897" w:rsidP="00E44897">
            <w:pPr>
              <w:ind w:right="680"/>
              <w:jc w:val="right"/>
              <w:rPr>
                <w:rFonts w:ascii="Calibri" w:hAnsi="Calibri" w:cs="Arial"/>
                <w:color w:val="000000"/>
                <w:sz w:val="20"/>
              </w:rPr>
            </w:pPr>
            <w:r>
              <w:rPr>
                <w:rFonts w:ascii="Calibri" w:hAnsi="Calibri" w:cs="Arial"/>
                <w:color w:val="000000"/>
                <w:sz w:val="20"/>
              </w:rPr>
              <w:t>12.500</w:t>
            </w:r>
          </w:p>
        </w:tc>
        <w:tc>
          <w:tcPr>
            <w:tcW w:w="3045" w:type="dxa"/>
            <w:tcBorders>
              <w:top w:val="nil"/>
              <w:left w:val="nil"/>
              <w:bottom w:val="nil"/>
              <w:right w:val="nil"/>
            </w:tcBorders>
            <w:vAlign w:val="center"/>
            <w:hideMark/>
          </w:tcPr>
          <w:p w:rsidR="00E44897" w:rsidRDefault="00E44897" w:rsidP="00E44897">
            <w:pPr>
              <w:jc w:val="center"/>
              <w:rPr>
                <w:rFonts w:ascii="Calibri" w:hAnsi="Calibri" w:cs="Arial"/>
                <w:color w:val="000000"/>
                <w:sz w:val="20"/>
              </w:rPr>
            </w:pPr>
            <w:r>
              <w:rPr>
                <w:rFonts w:ascii="Calibri" w:hAnsi="Calibri" w:cs="Arial"/>
                <w:color w:val="000000"/>
                <w:sz w:val="20"/>
              </w:rPr>
              <w:t>0</w:t>
            </w:r>
          </w:p>
        </w:tc>
      </w:tr>
      <w:tr w:rsidR="00E44897" w:rsidRPr="003D3270" w:rsidTr="009D59AA">
        <w:trPr>
          <w:trHeight w:val="283"/>
          <w:jc w:val="center"/>
        </w:trPr>
        <w:tc>
          <w:tcPr>
            <w:tcW w:w="3189" w:type="dxa"/>
            <w:tcBorders>
              <w:top w:val="nil"/>
              <w:left w:val="nil"/>
              <w:bottom w:val="nil"/>
              <w:right w:val="nil"/>
            </w:tcBorders>
            <w:vAlign w:val="center"/>
            <w:hideMark/>
          </w:tcPr>
          <w:p w:rsidR="00E44897" w:rsidRPr="006C6E61" w:rsidRDefault="00E44897" w:rsidP="00E44897">
            <w:pPr>
              <w:jc w:val="left"/>
              <w:rPr>
                <w:rFonts w:ascii="Calibri" w:hAnsi="Calibri" w:cs="Arial"/>
                <w:sz w:val="20"/>
              </w:rPr>
            </w:pPr>
            <w:r w:rsidRPr="006C6E61">
              <w:rPr>
                <w:rFonts w:ascii="Calibri" w:hAnsi="Calibri" w:cs="Arial"/>
                <w:sz w:val="20"/>
              </w:rPr>
              <w:t>5. Courmayeur (AO)</w:t>
            </w:r>
          </w:p>
        </w:tc>
        <w:tc>
          <w:tcPr>
            <w:tcW w:w="2126" w:type="dxa"/>
            <w:tcBorders>
              <w:top w:val="nil"/>
              <w:left w:val="nil"/>
              <w:bottom w:val="nil"/>
              <w:right w:val="nil"/>
            </w:tcBorders>
            <w:vAlign w:val="center"/>
          </w:tcPr>
          <w:p w:rsidR="00E44897" w:rsidRDefault="00E44897" w:rsidP="00E44897">
            <w:pPr>
              <w:ind w:right="680"/>
              <w:jc w:val="right"/>
              <w:rPr>
                <w:rFonts w:ascii="Calibri" w:hAnsi="Calibri" w:cs="Arial"/>
                <w:color w:val="000000"/>
                <w:sz w:val="20"/>
              </w:rPr>
            </w:pPr>
            <w:r>
              <w:rPr>
                <w:rFonts w:ascii="Calibri" w:hAnsi="Calibri" w:cs="Arial"/>
                <w:color w:val="000000"/>
                <w:sz w:val="20"/>
              </w:rPr>
              <w:t>11.200</w:t>
            </w:r>
          </w:p>
        </w:tc>
        <w:tc>
          <w:tcPr>
            <w:tcW w:w="3045" w:type="dxa"/>
            <w:tcBorders>
              <w:top w:val="nil"/>
              <w:left w:val="nil"/>
              <w:bottom w:val="nil"/>
              <w:right w:val="nil"/>
            </w:tcBorders>
            <w:vAlign w:val="center"/>
            <w:hideMark/>
          </w:tcPr>
          <w:p w:rsidR="00E44897" w:rsidRDefault="00E44897" w:rsidP="00E44897">
            <w:pPr>
              <w:jc w:val="center"/>
              <w:rPr>
                <w:rFonts w:ascii="Calibri" w:hAnsi="Calibri" w:cs="Arial"/>
                <w:color w:val="000000"/>
                <w:sz w:val="20"/>
              </w:rPr>
            </w:pPr>
            <w:r>
              <w:rPr>
                <w:rFonts w:ascii="Calibri" w:hAnsi="Calibri" w:cs="Arial"/>
                <w:color w:val="000000"/>
                <w:sz w:val="20"/>
              </w:rPr>
              <w:t>0</w:t>
            </w:r>
          </w:p>
        </w:tc>
      </w:tr>
      <w:tr w:rsidR="00E44897" w:rsidRPr="003D3270" w:rsidTr="009D59AA">
        <w:trPr>
          <w:trHeight w:val="283"/>
          <w:jc w:val="center"/>
        </w:trPr>
        <w:tc>
          <w:tcPr>
            <w:tcW w:w="3189" w:type="dxa"/>
            <w:tcBorders>
              <w:top w:val="nil"/>
              <w:left w:val="nil"/>
              <w:bottom w:val="nil"/>
              <w:right w:val="nil"/>
            </w:tcBorders>
            <w:vAlign w:val="center"/>
            <w:hideMark/>
          </w:tcPr>
          <w:p w:rsidR="00E44897" w:rsidRPr="006C6E61" w:rsidRDefault="00E44897" w:rsidP="00E44897">
            <w:pPr>
              <w:jc w:val="left"/>
              <w:rPr>
                <w:rFonts w:ascii="Calibri" w:hAnsi="Calibri" w:cs="Arial"/>
                <w:sz w:val="20"/>
              </w:rPr>
            </w:pPr>
            <w:r w:rsidRPr="006C6E61">
              <w:rPr>
                <w:rFonts w:ascii="Calibri" w:hAnsi="Calibri" w:cs="Arial"/>
                <w:sz w:val="20"/>
              </w:rPr>
              <w:t>6. Cortina d'Ampezzo (BL)</w:t>
            </w:r>
          </w:p>
        </w:tc>
        <w:tc>
          <w:tcPr>
            <w:tcW w:w="2126" w:type="dxa"/>
            <w:tcBorders>
              <w:top w:val="nil"/>
              <w:left w:val="nil"/>
              <w:bottom w:val="nil"/>
              <w:right w:val="nil"/>
            </w:tcBorders>
            <w:vAlign w:val="center"/>
          </w:tcPr>
          <w:p w:rsidR="00E44897" w:rsidRDefault="00E44897" w:rsidP="00E44897">
            <w:pPr>
              <w:ind w:right="680"/>
              <w:jc w:val="right"/>
              <w:rPr>
                <w:rFonts w:ascii="Calibri" w:hAnsi="Calibri" w:cs="Arial"/>
                <w:color w:val="000000"/>
                <w:sz w:val="20"/>
              </w:rPr>
            </w:pPr>
            <w:r>
              <w:rPr>
                <w:rFonts w:ascii="Calibri" w:hAnsi="Calibri" w:cs="Arial"/>
                <w:color w:val="000000"/>
                <w:sz w:val="20"/>
              </w:rPr>
              <w:t>10.900</w:t>
            </w:r>
          </w:p>
        </w:tc>
        <w:tc>
          <w:tcPr>
            <w:tcW w:w="3045" w:type="dxa"/>
            <w:tcBorders>
              <w:top w:val="nil"/>
              <w:left w:val="nil"/>
              <w:bottom w:val="nil"/>
              <w:right w:val="nil"/>
            </w:tcBorders>
            <w:vAlign w:val="center"/>
            <w:hideMark/>
          </w:tcPr>
          <w:p w:rsidR="00E44897" w:rsidRDefault="00E44897" w:rsidP="00E44897">
            <w:pPr>
              <w:jc w:val="center"/>
              <w:rPr>
                <w:rFonts w:ascii="Calibri" w:hAnsi="Calibri" w:cs="Arial"/>
                <w:color w:val="000000"/>
                <w:sz w:val="20"/>
              </w:rPr>
            </w:pPr>
            <w:r>
              <w:rPr>
                <w:rFonts w:ascii="Calibri" w:hAnsi="Calibri" w:cs="Arial"/>
                <w:color w:val="000000"/>
                <w:sz w:val="20"/>
              </w:rPr>
              <w:t>0</w:t>
            </w:r>
          </w:p>
        </w:tc>
      </w:tr>
      <w:tr w:rsidR="00E44897" w:rsidRPr="003D3270" w:rsidTr="009D59AA">
        <w:trPr>
          <w:trHeight w:val="283"/>
          <w:jc w:val="center"/>
        </w:trPr>
        <w:tc>
          <w:tcPr>
            <w:tcW w:w="3189" w:type="dxa"/>
            <w:tcBorders>
              <w:top w:val="nil"/>
              <w:left w:val="nil"/>
              <w:bottom w:val="nil"/>
              <w:right w:val="nil"/>
            </w:tcBorders>
            <w:vAlign w:val="center"/>
            <w:hideMark/>
          </w:tcPr>
          <w:p w:rsidR="00E44897" w:rsidRPr="006C6E61" w:rsidRDefault="00E44897" w:rsidP="00E44897">
            <w:pPr>
              <w:jc w:val="left"/>
              <w:rPr>
                <w:rFonts w:ascii="Calibri" w:hAnsi="Calibri" w:cs="Arial"/>
                <w:sz w:val="20"/>
              </w:rPr>
            </w:pPr>
            <w:r w:rsidRPr="006C6E61">
              <w:rPr>
                <w:rFonts w:ascii="Calibri" w:hAnsi="Calibri" w:cs="Arial"/>
                <w:sz w:val="20"/>
              </w:rPr>
              <w:t>7. Selva di Val Gardena (BZ)</w:t>
            </w:r>
          </w:p>
        </w:tc>
        <w:tc>
          <w:tcPr>
            <w:tcW w:w="2126" w:type="dxa"/>
            <w:tcBorders>
              <w:top w:val="nil"/>
              <w:left w:val="nil"/>
              <w:bottom w:val="nil"/>
              <w:right w:val="nil"/>
            </w:tcBorders>
            <w:vAlign w:val="center"/>
          </w:tcPr>
          <w:p w:rsidR="00E44897" w:rsidRDefault="00E44897" w:rsidP="00E44897">
            <w:pPr>
              <w:ind w:right="680"/>
              <w:jc w:val="right"/>
              <w:rPr>
                <w:rFonts w:ascii="Calibri" w:hAnsi="Calibri" w:cs="Arial"/>
                <w:color w:val="000000"/>
                <w:sz w:val="20"/>
              </w:rPr>
            </w:pPr>
            <w:r>
              <w:rPr>
                <w:rFonts w:ascii="Calibri" w:hAnsi="Calibri" w:cs="Arial"/>
                <w:color w:val="000000"/>
                <w:sz w:val="20"/>
              </w:rPr>
              <w:t>9.900</w:t>
            </w:r>
          </w:p>
        </w:tc>
        <w:tc>
          <w:tcPr>
            <w:tcW w:w="3045" w:type="dxa"/>
            <w:tcBorders>
              <w:top w:val="nil"/>
              <w:left w:val="nil"/>
              <w:bottom w:val="nil"/>
              <w:right w:val="nil"/>
            </w:tcBorders>
            <w:vAlign w:val="center"/>
            <w:hideMark/>
          </w:tcPr>
          <w:p w:rsidR="00E44897" w:rsidRDefault="00E44897" w:rsidP="00E44897">
            <w:pPr>
              <w:jc w:val="center"/>
              <w:rPr>
                <w:rFonts w:ascii="Calibri" w:hAnsi="Calibri" w:cs="Arial"/>
                <w:color w:val="000000"/>
                <w:sz w:val="20"/>
              </w:rPr>
            </w:pPr>
            <w:r>
              <w:rPr>
                <w:rFonts w:ascii="Calibri" w:hAnsi="Calibri" w:cs="Arial"/>
                <w:color w:val="000000"/>
                <w:sz w:val="20"/>
              </w:rPr>
              <w:t>0</w:t>
            </w:r>
          </w:p>
        </w:tc>
      </w:tr>
      <w:tr w:rsidR="00E44897" w:rsidRPr="003D3270" w:rsidTr="009D59AA">
        <w:trPr>
          <w:trHeight w:val="283"/>
          <w:jc w:val="center"/>
        </w:trPr>
        <w:tc>
          <w:tcPr>
            <w:tcW w:w="3189" w:type="dxa"/>
            <w:tcBorders>
              <w:top w:val="nil"/>
              <w:left w:val="nil"/>
              <w:bottom w:val="nil"/>
              <w:right w:val="nil"/>
            </w:tcBorders>
            <w:vAlign w:val="center"/>
            <w:hideMark/>
          </w:tcPr>
          <w:p w:rsidR="00E44897" w:rsidRPr="006C6E61" w:rsidRDefault="00E44897" w:rsidP="00E44897">
            <w:pPr>
              <w:jc w:val="left"/>
              <w:rPr>
                <w:rFonts w:ascii="Calibri" w:hAnsi="Calibri" w:cs="Arial"/>
                <w:sz w:val="20"/>
              </w:rPr>
            </w:pPr>
            <w:r w:rsidRPr="006C6E61">
              <w:rPr>
                <w:rFonts w:ascii="Calibri" w:hAnsi="Calibri" w:cs="Arial"/>
                <w:sz w:val="20"/>
              </w:rPr>
              <w:t>8. Porto Cervo (OT)</w:t>
            </w:r>
          </w:p>
        </w:tc>
        <w:tc>
          <w:tcPr>
            <w:tcW w:w="2126" w:type="dxa"/>
            <w:tcBorders>
              <w:top w:val="nil"/>
              <w:left w:val="nil"/>
              <w:bottom w:val="nil"/>
              <w:right w:val="nil"/>
            </w:tcBorders>
            <w:vAlign w:val="center"/>
          </w:tcPr>
          <w:p w:rsidR="00E44897" w:rsidRDefault="00E44897" w:rsidP="00E44897">
            <w:pPr>
              <w:ind w:right="680"/>
              <w:jc w:val="right"/>
              <w:rPr>
                <w:rFonts w:ascii="Calibri" w:hAnsi="Calibri" w:cs="Arial"/>
                <w:color w:val="000000"/>
                <w:sz w:val="20"/>
              </w:rPr>
            </w:pPr>
            <w:r>
              <w:rPr>
                <w:rFonts w:ascii="Calibri" w:hAnsi="Calibri" w:cs="Arial"/>
                <w:color w:val="000000"/>
                <w:sz w:val="20"/>
              </w:rPr>
              <w:t>9.600</w:t>
            </w:r>
          </w:p>
        </w:tc>
        <w:tc>
          <w:tcPr>
            <w:tcW w:w="3045" w:type="dxa"/>
            <w:tcBorders>
              <w:top w:val="nil"/>
              <w:left w:val="nil"/>
              <w:bottom w:val="nil"/>
              <w:right w:val="nil"/>
            </w:tcBorders>
            <w:vAlign w:val="center"/>
            <w:hideMark/>
          </w:tcPr>
          <w:p w:rsidR="00E44897" w:rsidRDefault="00E44897" w:rsidP="00E44897">
            <w:pPr>
              <w:jc w:val="center"/>
              <w:rPr>
                <w:rFonts w:ascii="Calibri" w:hAnsi="Calibri" w:cs="Arial"/>
                <w:color w:val="000000"/>
                <w:sz w:val="20"/>
              </w:rPr>
            </w:pPr>
            <w:r>
              <w:rPr>
                <w:rFonts w:ascii="Calibri" w:hAnsi="Calibri" w:cs="Arial"/>
                <w:color w:val="000000"/>
                <w:sz w:val="20"/>
              </w:rPr>
              <w:t>0</w:t>
            </w:r>
          </w:p>
        </w:tc>
      </w:tr>
      <w:tr w:rsidR="00E44897" w:rsidRPr="003D3270" w:rsidTr="009D59AA">
        <w:trPr>
          <w:trHeight w:val="283"/>
          <w:jc w:val="center"/>
        </w:trPr>
        <w:tc>
          <w:tcPr>
            <w:tcW w:w="3189" w:type="dxa"/>
            <w:tcBorders>
              <w:top w:val="nil"/>
              <w:left w:val="nil"/>
              <w:bottom w:val="nil"/>
              <w:right w:val="nil"/>
            </w:tcBorders>
            <w:vAlign w:val="center"/>
            <w:hideMark/>
          </w:tcPr>
          <w:p w:rsidR="00E44897" w:rsidRPr="006C6E61" w:rsidRDefault="00E44897" w:rsidP="00E44897">
            <w:pPr>
              <w:jc w:val="left"/>
              <w:rPr>
                <w:rFonts w:ascii="Calibri" w:hAnsi="Calibri" w:cs="Arial"/>
                <w:sz w:val="20"/>
              </w:rPr>
            </w:pPr>
            <w:r w:rsidRPr="006C6E61">
              <w:rPr>
                <w:rFonts w:ascii="Calibri" w:hAnsi="Calibri" w:cs="Arial"/>
                <w:sz w:val="20"/>
              </w:rPr>
              <w:t>9. Anacapri (NA)</w:t>
            </w:r>
          </w:p>
        </w:tc>
        <w:tc>
          <w:tcPr>
            <w:tcW w:w="2126" w:type="dxa"/>
            <w:tcBorders>
              <w:top w:val="nil"/>
              <w:left w:val="nil"/>
              <w:bottom w:val="nil"/>
              <w:right w:val="nil"/>
            </w:tcBorders>
            <w:vAlign w:val="center"/>
          </w:tcPr>
          <w:p w:rsidR="00E44897" w:rsidRDefault="00E44897" w:rsidP="00E44897">
            <w:pPr>
              <w:ind w:right="680"/>
              <w:jc w:val="right"/>
              <w:rPr>
                <w:rFonts w:ascii="Calibri" w:hAnsi="Calibri" w:cs="Arial"/>
                <w:color w:val="000000"/>
                <w:sz w:val="20"/>
              </w:rPr>
            </w:pPr>
            <w:r>
              <w:rPr>
                <w:rFonts w:ascii="Calibri" w:hAnsi="Calibri" w:cs="Arial"/>
                <w:color w:val="000000"/>
                <w:sz w:val="20"/>
              </w:rPr>
              <w:t>9.100</w:t>
            </w:r>
          </w:p>
        </w:tc>
        <w:tc>
          <w:tcPr>
            <w:tcW w:w="3045" w:type="dxa"/>
            <w:tcBorders>
              <w:top w:val="nil"/>
              <w:left w:val="nil"/>
              <w:bottom w:val="nil"/>
              <w:right w:val="nil"/>
            </w:tcBorders>
            <w:vAlign w:val="center"/>
            <w:hideMark/>
          </w:tcPr>
          <w:p w:rsidR="00E44897" w:rsidRDefault="00E44897" w:rsidP="00E44897">
            <w:pPr>
              <w:jc w:val="center"/>
              <w:rPr>
                <w:rFonts w:ascii="Calibri" w:hAnsi="Calibri" w:cs="Arial"/>
                <w:color w:val="000000"/>
                <w:sz w:val="20"/>
              </w:rPr>
            </w:pPr>
            <w:r>
              <w:rPr>
                <w:rFonts w:ascii="Calibri" w:hAnsi="Calibri" w:cs="Arial"/>
                <w:color w:val="000000"/>
                <w:sz w:val="20"/>
              </w:rPr>
              <w:t>0</w:t>
            </w:r>
          </w:p>
        </w:tc>
      </w:tr>
      <w:tr w:rsidR="00E44897" w:rsidRPr="003D3270" w:rsidTr="009D59AA">
        <w:trPr>
          <w:trHeight w:val="283"/>
          <w:jc w:val="center"/>
        </w:trPr>
        <w:tc>
          <w:tcPr>
            <w:tcW w:w="3189" w:type="dxa"/>
            <w:tcBorders>
              <w:top w:val="nil"/>
              <w:left w:val="nil"/>
              <w:bottom w:val="nil"/>
              <w:right w:val="nil"/>
            </w:tcBorders>
            <w:vAlign w:val="center"/>
            <w:hideMark/>
          </w:tcPr>
          <w:p w:rsidR="00E44897" w:rsidRPr="006C6E61" w:rsidRDefault="00E44897" w:rsidP="00E44897">
            <w:pPr>
              <w:jc w:val="left"/>
              <w:rPr>
                <w:rFonts w:ascii="Calibri" w:hAnsi="Calibri" w:cs="Arial"/>
                <w:sz w:val="20"/>
              </w:rPr>
            </w:pPr>
            <w:r w:rsidRPr="006C6E61">
              <w:rPr>
                <w:rFonts w:ascii="Calibri" w:hAnsi="Calibri" w:cs="Arial"/>
                <w:sz w:val="20"/>
              </w:rPr>
              <w:t>1</w:t>
            </w:r>
            <w:r>
              <w:rPr>
                <w:rFonts w:ascii="Calibri" w:hAnsi="Calibri" w:cs="Arial"/>
                <w:sz w:val="20"/>
              </w:rPr>
              <w:t>0</w:t>
            </w:r>
            <w:r w:rsidRPr="006C6E61">
              <w:rPr>
                <w:rFonts w:ascii="Calibri" w:hAnsi="Calibri" w:cs="Arial"/>
                <w:sz w:val="20"/>
              </w:rPr>
              <w:t xml:space="preserve">. </w:t>
            </w:r>
            <w:r w:rsidRPr="00E44897">
              <w:rPr>
                <w:rFonts w:ascii="Calibri" w:hAnsi="Calibri" w:cs="Arial"/>
                <w:sz w:val="20"/>
              </w:rPr>
              <w:t>Ortisei (BZ)</w:t>
            </w:r>
          </w:p>
        </w:tc>
        <w:tc>
          <w:tcPr>
            <w:tcW w:w="2126" w:type="dxa"/>
            <w:tcBorders>
              <w:top w:val="nil"/>
              <w:left w:val="nil"/>
              <w:bottom w:val="nil"/>
              <w:right w:val="nil"/>
            </w:tcBorders>
            <w:vAlign w:val="center"/>
          </w:tcPr>
          <w:p w:rsidR="00E44897" w:rsidRDefault="00E44897" w:rsidP="00E44897">
            <w:pPr>
              <w:ind w:right="680"/>
              <w:jc w:val="right"/>
              <w:rPr>
                <w:rFonts w:ascii="Calibri" w:hAnsi="Calibri" w:cs="Arial"/>
                <w:color w:val="000000"/>
                <w:sz w:val="20"/>
              </w:rPr>
            </w:pPr>
            <w:r>
              <w:rPr>
                <w:rFonts w:ascii="Calibri" w:hAnsi="Calibri" w:cs="Arial"/>
                <w:color w:val="000000"/>
                <w:sz w:val="20"/>
              </w:rPr>
              <w:t>8.800</w:t>
            </w:r>
          </w:p>
        </w:tc>
        <w:tc>
          <w:tcPr>
            <w:tcW w:w="3045" w:type="dxa"/>
            <w:tcBorders>
              <w:top w:val="nil"/>
              <w:left w:val="nil"/>
              <w:bottom w:val="nil"/>
              <w:right w:val="nil"/>
            </w:tcBorders>
            <w:vAlign w:val="center"/>
            <w:hideMark/>
          </w:tcPr>
          <w:p w:rsidR="00E44897" w:rsidRDefault="00EA4BE5" w:rsidP="00E44897">
            <w:pPr>
              <w:jc w:val="center"/>
              <w:rPr>
                <w:rFonts w:ascii="Calibri" w:hAnsi="Calibri" w:cs="Arial"/>
                <w:color w:val="000000"/>
                <w:sz w:val="20"/>
              </w:rPr>
            </w:pPr>
            <w:r>
              <w:rPr>
                <w:rFonts w:ascii="Calibri" w:hAnsi="Calibri" w:cs="Arial"/>
                <w:color w:val="000000"/>
                <w:sz w:val="20"/>
              </w:rPr>
              <w:t>1</w:t>
            </w:r>
          </w:p>
        </w:tc>
      </w:tr>
      <w:tr w:rsidR="00E44897" w:rsidRPr="003D3270" w:rsidTr="009D59AA">
        <w:trPr>
          <w:trHeight w:val="283"/>
          <w:jc w:val="center"/>
        </w:trPr>
        <w:tc>
          <w:tcPr>
            <w:tcW w:w="3189" w:type="dxa"/>
            <w:tcBorders>
              <w:top w:val="nil"/>
              <w:left w:val="nil"/>
              <w:bottom w:val="nil"/>
              <w:right w:val="nil"/>
            </w:tcBorders>
            <w:vAlign w:val="center"/>
            <w:hideMark/>
          </w:tcPr>
          <w:p w:rsidR="00E44897" w:rsidRPr="006C6E61" w:rsidRDefault="00E44897" w:rsidP="00E44897">
            <w:pPr>
              <w:jc w:val="left"/>
              <w:rPr>
                <w:rFonts w:ascii="Calibri" w:hAnsi="Calibri" w:cs="Arial"/>
                <w:sz w:val="20"/>
              </w:rPr>
            </w:pPr>
            <w:r w:rsidRPr="006C6E61">
              <w:rPr>
                <w:rFonts w:ascii="Calibri" w:hAnsi="Calibri" w:cs="Arial"/>
                <w:sz w:val="20"/>
              </w:rPr>
              <w:t>11. Porto Rotondo (OT)</w:t>
            </w:r>
          </w:p>
        </w:tc>
        <w:tc>
          <w:tcPr>
            <w:tcW w:w="2126" w:type="dxa"/>
            <w:tcBorders>
              <w:top w:val="nil"/>
              <w:left w:val="nil"/>
              <w:bottom w:val="nil"/>
              <w:right w:val="nil"/>
            </w:tcBorders>
            <w:vAlign w:val="center"/>
          </w:tcPr>
          <w:p w:rsidR="00E44897" w:rsidRDefault="00E44897" w:rsidP="00E44897">
            <w:pPr>
              <w:ind w:right="680"/>
              <w:jc w:val="right"/>
              <w:rPr>
                <w:rFonts w:ascii="Calibri" w:hAnsi="Calibri" w:cs="Arial"/>
                <w:color w:val="000000"/>
                <w:sz w:val="20"/>
              </w:rPr>
            </w:pPr>
            <w:r>
              <w:rPr>
                <w:rFonts w:ascii="Calibri" w:hAnsi="Calibri" w:cs="Arial"/>
                <w:color w:val="000000"/>
                <w:sz w:val="20"/>
              </w:rPr>
              <w:t>8.700</w:t>
            </w:r>
          </w:p>
        </w:tc>
        <w:tc>
          <w:tcPr>
            <w:tcW w:w="3045" w:type="dxa"/>
            <w:tcBorders>
              <w:top w:val="nil"/>
              <w:left w:val="nil"/>
              <w:bottom w:val="nil"/>
              <w:right w:val="nil"/>
            </w:tcBorders>
            <w:vAlign w:val="center"/>
            <w:hideMark/>
          </w:tcPr>
          <w:p w:rsidR="00E44897" w:rsidRDefault="00E44897" w:rsidP="00E44897">
            <w:pPr>
              <w:jc w:val="center"/>
              <w:rPr>
                <w:rFonts w:ascii="Calibri" w:hAnsi="Calibri" w:cs="Arial"/>
                <w:color w:val="000000"/>
                <w:sz w:val="20"/>
              </w:rPr>
            </w:pPr>
            <w:r>
              <w:rPr>
                <w:rFonts w:ascii="Calibri" w:hAnsi="Calibri" w:cs="Arial"/>
                <w:color w:val="000000"/>
                <w:sz w:val="20"/>
              </w:rPr>
              <w:t>-1</w:t>
            </w:r>
          </w:p>
        </w:tc>
      </w:tr>
      <w:tr w:rsidR="00E44897" w:rsidRPr="003D3270" w:rsidTr="009D59AA">
        <w:trPr>
          <w:trHeight w:val="283"/>
          <w:jc w:val="center"/>
        </w:trPr>
        <w:tc>
          <w:tcPr>
            <w:tcW w:w="3189" w:type="dxa"/>
            <w:tcBorders>
              <w:top w:val="nil"/>
              <w:left w:val="nil"/>
              <w:bottom w:val="nil"/>
              <w:right w:val="nil"/>
            </w:tcBorders>
            <w:vAlign w:val="center"/>
            <w:hideMark/>
          </w:tcPr>
          <w:p w:rsidR="00E44897" w:rsidRPr="006C6E61" w:rsidRDefault="00E44897" w:rsidP="00E44897">
            <w:pPr>
              <w:jc w:val="left"/>
              <w:rPr>
                <w:rFonts w:ascii="Calibri" w:hAnsi="Calibri" w:cs="Arial"/>
                <w:sz w:val="20"/>
              </w:rPr>
            </w:pPr>
            <w:r w:rsidRPr="006C6E61">
              <w:rPr>
                <w:rFonts w:ascii="Calibri" w:hAnsi="Calibri" w:cs="Arial"/>
                <w:sz w:val="20"/>
              </w:rPr>
              <w:t>12. Corvara (BZ)</w:t>
            </w:r>
          </w:p>
        </w:tc>
        <w:tc>
          <w:tcPr>
            <w:tcW w:w="2126" w:type="dxa"/>
            <w:tcBorders>
              <w:top w:val="nil"/>
              <w:left w:val="nil"/>
              <w:bottom w:val="nil"/>
              <w:right w:val="nil"/>
            </w:tcBorders>
            <w:vAlign w:val="center"/>
          </w:tcPr>
          <w:p w:rsidR="00E44897" w:rsidRDefault="00E44897" w:rsidP="00E44897">
            <w:pPr>
              <w:ind w:right="680"/>
              <w:jc w:val="right"/>
              <w:rPr>
                <w:rFonts w:ascii="Calibri" w:hAnsi="Calibri" w:cs="Arial"/>
                <w:color w:val="000000"/>
                <w:sz w:val="20"/>
              </w:rPr>
            </w:pPr>
            <w:r>
              <w:rPr>
                <w:rFonts w:ascii="Calibri" w:hAnsi="Calibri" w:cs="Arial"/>
                <w:color w:val="000000"/>
                <w:sz w:val="20"/>
              </w:rPr>
              <w:t>8.400</w:t>
            </w:r>
          </w:p>
        </w:tc>
        <w:tc>
          <w:tcPr>
            <w:tcW w:w="3045" w:type="dxa"/>
            <w:tcBorders>
              <w:top w:val="nil"/>
              <w:left w:val="nil"/>
              <w:bottom w:val="nil"/>
              <w:right w:val="nil"/>
            </w:tcBorders>
            <w:vAlign w:val="center"/>
            <w:hideMark/>
          </w:tcPr>
          <w:p w:rsidR="00E44897" w:rsidRDefault="00E44897" w:rsidP="00E44897">
            <w:pPr>
              <w:jc w:val="center"/>
              <w:rPr>
                <w:rFonts w:ascii="Calibri" w:hAnsi="Calibri" w:cs="Arial"/>
                <w:color w:val="000000"/>
                <w:sz w:val="20"/>
              </w:rPr>
            </w:pPr>
            <w:r>
              <w:rPr>
                <w:rFonts w:ascii="Calibri" w:hAnsi="Calibri" w:cs="Arial"/>
                <w:color w:val="000000"/>
                <w:sz w:val="20"/>
              </w:rPr>
              <w:t>0</w:t>
            </w:r>
          </w:p>
        </w:tc>
      </w:tr>
      <w:tr w:rsidR="00E44897" w:rsidRPr="003D3270" w:rsidTr="009D59AA">
        <w:trPr>
          <w:trHeight w:val="283"/>
          <w:jc w:val="center"/>
        </w:trPr>
        <w:tc>
          <w:tcPr>
            <w:tcW w:w="3189" w:type="dxa"/>
            <w:tcBorders>
              <w:top w:val="nil"/>
              <w:left w:val="nil"/>
              <w:bottom w:val="single" w:sz="8" w:space="0" w:color="auto"/>
              <w:right w:val="nil"/>
            </w:tcBorders>
            <w:vAlign w:val="center"/>
            <w:hideMark/>
          </w:tcPr>
          <w:p w:rsidR="00E44897" w:rsidRPr="006C6E61" w:rsidRDefault="00E44897" w:rsidP="00E44897">
            <w:pPr>
              <w:jc w:val="left"/>
              <w:rPr>
                <w:rFonts w:ascii="Calibri" w:hAnsi="Calibri" w:cs="Arial"/>
                <w:sz w:val="20"/>
              </w:rPr>
            </w:pPr>
            <w:r w:rsidRPr="006C6E61">
              <w:rPr>
                <w:rFonts w:ascii="Calibri" w:hAnsi="Calibri" w:cs="Arial"/>
                <w:sz w:val="20"/>
              </w:rPr>
              <w:t>1</w:t>
            </w:r>
            <w:r>
              <w:rPr>
                <w:rFonts w:ascii="Calibri" w:hAnsi="Calibri" w:cs="Arial"/>
                <w:sz w:val="20"/>
              </w:rPr>
              <w:t>3</w:t>
            </w:r>
            <w:r w:rsidRPr="006C6E61">
              <w:rPr>
                <w:rFonts w:ascii="Calibri" w:hAnsi="Calibri" w:cs="Arial"/>
                <w:sz w:val="20"/>
              </w:rPr>
              <w:t xml:space="preserve">. </w:t>
            </w:r>
            <w:r w:rsidRPr="00E44897">
              <w:rPr>
                <w:rFonts w:ascii="Calibri" w:hAnsi="Calibri" w:cs="Arial"/>
                <w:sz w:val="20"/>
              </w:rPr>
              <w:t>Sirmione (BS)</w:t>
            </w:r>
          </w:p>
        </w:tc>
        <w:tc>
          <w:tcPr>
            <w:tcW w:w="2126" w:type="dxa"/>
            <w:tcBorders>
              <w:top w:val="nil"/>
              <w:left w:val="nil"/>
              <w:bottom w:val="single" w:sz="8" w:space="0" w:color="auto"/>
              <w:right w:val="nil"/>
            </w:tcBorders>
            <w:vAlign w:val="center"/>
          </w:tcPr>
          <w:p w:rsidR="00E44897" w:rsidRDefault="00E44897" w:rsidP="00E44897">
            <w:pPr>
              <w:ind w:right="680"/>
              <w:jc w:val="right"/>
              <w:rPr>
                <w:rFonts w:ascii="Calibri" w:hAnsi="Calibri" w:cs="Arial"/>
                <w:color w:val="000000"/>
                <w:sz w:val="20"/>
              </w:rPr>
            </w:pPr>
            <w:r>
              <w:rPr>
                <w:rFonts w:ascii="Calibri" w:hAnsi="Calibri" w:cs="Arial"/>
                <w:color w:val="000000"/>
                <w:sz w:val="20"/>
              </w:rPr>
              <w:t>8.300</w:t>
            </w:r>
          </w:p>
        </w:tc>
        <w:tc>
          <w:tcPr>
            <w:tcW w:w="3045" w:type="dxa"/>
            <w:tcBorders>
              <w:top w:val="nil"/>
              <w:left w:val="nil"/>
              <w:bottom w:val="single" w:sz="8" w:space="0" w:color="auto"/>
              <w:right w:val="nil"/>
            </w:tcBorders>
            <w:vAlign w:val="center"/>
            <w:hideMark/>
          </w:tcPr>
          <w:p w:rsidR="00E44897" w:rsidRDefault="00E44897" w:rsidP="00E44897">
            <w:pPr>
              <w:jc w:val="center"/>
              <w:rPr>
                <w:rFonts w:ascii="Calibri" w:hAnsi="Calibri" w:cs="Arial"/>
                <w:color w:val="000000"/>
                <w:sz w:val="20"/>
              </w:rPr>
            </w:pPr>
            <w:r>
              <w:rPr>
                <w:rFonts w:ascii="Calibri" w:hAnsi="Calibri" w:cs="Arial"/>
                <w:color w:val="000000"/>
                <w:sz w:val="20"/>
              </w:rPr>
              <w:t>0</w:t>
            </w:r>
          </w:p>
        </w:tc>
      </w:tr>
    </w:tbl>
    <w:p w:rsidR="001A3468" w:rsidRPr="003D3270" w:rsidRDefault="001A3468" w:rsidP="001A3468">
      <w:pPr>
        <w:ind w:firstLine="708"/>
        <w:jc w:val="left"/>
        <w:rPr>
          <w:rFonts w:asciiTheme="minorHAnsi" w:eastAsia="Calibri" w:hAnsiTheme="minorHAnsi" w:cstheme="minorHAnsi"/>
          <w:sz w:val="2"/>
          <w:szCs w:val="2"/>
        </w:rPr>
      </w:pPr>
    </w:p>
    <w:p w:rsidR="00575691" w:rsidRPr="003D3270" w:rsidRDefault="001A3468" w:rsidP="009D59AA">
      <w:pPr>
        <w:spacing w:before="60"/>
        <w:ind w:firstLine="709"/>
        <w:jc w:val="left"/>
        <w:rPr>
          <w:rFonts w:asciiTheme="minorHAnsi" w:eastAsia="Calibri" w:hAnsiTheme="minorHAnsi" w:cstheme="minorHAnsi"/>
          <w:sz w:val="32"/>
          <w:szCs w:val="32"/>
        </w:rPr>
      </w:pPr>
      <w:r w:rsidRPr="003D3270">
        <w:rPr>
          <w:rFonts w:asciiTheme="minorHAnsi" w:eastAsia="Calibri" w:hAnsiTheme="minorHAnsi" w:cstheme="minorHAnsi"/>
          <w:sz w:val="18"/>
        </w:rPr>
        <w:t>Fonte: Nomisma e Fimaa-Confcommercio</w:t>
      </w:r>
    </w:p>
    <w:sectPr w:rsidR="00575691" w:rsidRPr="003D3270" w:rsidSect="005933D1">
      <w:headerReference w:type="default" r:id="rId15"/>
      <w:footerReference w:type="default" r:id="rId16"/>
      <w:headerReference w:type="first" r:id="rId17"/>
      <w:pgSz w:w="11906" w:h="16838" w:code="9"/>
      <w:pgMar w:top="2268" w:right="1134" w:bottom="1701" w:left="1134"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9AF" w:rsidRDefault="00E839AF" w:rsidP="00AE50F2">
      <w:r>
        <w:separator/>
      </w:r>
    </w:p>
  </w:endnote>
  <w:endnote w:type="continuationSeparator" w:id="0">
    <w:p w:rsidR="00E839AF" w:rsidRDefault="00E839AF" w:rsidP="00AE5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rPr>
      <w:id w:val="-654989620"/>
      <w:docPartObj>
        <w:docPartGallery w:val="Page Numbers (Bottom of Page)"/>
        <w:docPartUnique/>
      </w:docPartObj>
    </w:sdtPr>
    <w:sdtEndPr/>
    <w:sdtContent>
      <w:p w:rsidR="000D203E" w:rsidRPr="00E65333" w:rsidRDefault="000D203E" w:rsidP="00E65333">
        <w:pPr>
          <w:pStyle w:val="Pidipagina"/>
          <w:pBdr>
            <w:top w:val="single" w:sz="4" w:space="1" w:color="auto"/>
          </w:pBdr>
          <w:jc w:val="right"/>
          <w:rPr>
            <w:rFonts w:asciiTheme="minorHAnsi" w:hAnsiTheme="minorHAnsi"/>
            <w:sz w:val="20"/>
          </w:rPr>
        </w:pPr>
        <w:r w:rsidRPr="00CB214E">
          <w:rPr>
            <w:rFonts w:asciiTheme="minorHAnsi" w:hAnsiTheme="minorHAnsi"/>
            <w:sz w:val="20"/>
          </w:rPr>
          <w:t xml:space="preserve">Osservatorio Turistico, </w:t>
        </w:r>
        <w:r w:rsidR="007C3223">
          <w:rPr>
            <w:rFonts w:asciiTheme="minorHAnsi" w:hAnsiTheme="minorHAnsi"/>
            <w:sz w:val="20"/>
          </w:rPr>
          <w:t>3 Agosto</w:t>
        </w:r>
        <w:r>
          <w:rPr>
            <w:rFonts w:asciiTheme="minorHAnsi" w:hAnsiTheme="minorHAnsi"/>
            <w:sz w:val="20"/>
          </w:rPr>
          <w:t xml:space="preserve"> 201</w:t>
        </w:r>
        <w:r w:rsidR="003C060B">
          <w:rPr>
            <w:rFonts w:asciiTheme="minorHAnsi" w:hAnsiTheme="minorHAnsi"/>
            <w:sz w:val="20"/>
          </w:rPr>
          <w:t>7</w:t>
        </w:r>
        <w:r w:rsidRPr="00CB214E">
          <w:rPr>
            <w:rFonts w:asciiTheme="minorHAnsi" w:hAnsiTheme="minorHAnsi"/>
            <w:sz w:val="20"/>
          </w:rPr>
          <w:tab/>
        </w:r>
        <w:r w:rsidRPr="00CB214E">
          <w:rPr>
            <w:rFonts w:asciiTheme="minorHAnsi" w:hAnsiTheme="minorHAnsi"/>
            <w:sz w:val="20"/>
          </w:rPr>
          <w:tab/>
        </w:r>
        <w:r w:rsidRPr="00CB214E">
          <w:rPr>
            <w:rFonts w:asciiTheme="minorHAnsi" w:hAnsiTheme="minorHAnsi"/>
            <w:sz w:val="20"/>
          </w:rPr>
          <w:fldChar w:fldCharType="begin"/>
        </w:r>
        <w:r w:rsidRPr="00CB214E">
          <w:rPr>
            <w:rFonts w:asciiTheme="minorHAnsi" w:hAnsiTheme="minorHAnsi"/>
            <w:sz w:val="20"/>
          </w:rPr>
          <w:instrText>PAGE   \* MERGEFORMAT</w:instrText>
        </w:r>
        <w:r w:rsidRPr="00CB214E">
          <w:rPr>
            <w:rFonts w:asciiTheme="minorHAnsi" w:hAnsiTheme="minorHAnsi"/>
            <w:sz w:val="20"/>
          </w:rPr>
          <w:fldChar w:fldCharType="separate"/>
        </w:r>
        <w:r w:rsidR="005A0A58">
          <w:rPr>
            <w:rFonts w:asciiTheme="minorHAnsi" w:hAnsiTheme="minorHAnsi"/>
            <w:noProof/>
            <w:sz w:val="20"/>
          </w:rPr>
          <w:t>2</w:t>
        </w:r>
        <w:r w:rsidRPr="00CB214E">
          <w:rPr>
            <w:rFonts w:asciiTheme="minorHAnsi" w:hAnsiTheme="minorHAnsi"/>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9AF" w:rsidRDefault="00E839AF" w:rsidP="00AE50F2">
      <w:r>
        <w:separator/>
      </w:r>
    </w:p>
  </w:footnote>
  <w:footnote w:type="continuationSeparator" w:id="0">
    <w:p w:rsidR="00E839AF" w:rsidRDefault="00E839AF" w:rsidP="00AE50F2">
      <w:r>
        <w:continuationSeparator/>
      </w:r>
    </w:p>
  </w:footnote>
  <w:footnote w:id="1">
    <w:p w:rsidR="0068237F" w:rsidRPr="0068237F" w:rsidRDefault="0068237F">
      <w:pPr>
        <w:pStyle w:val="Testonotaapidipagina"/>
        <w:rPr>
          <w:rFonts w:asciiTheme="minorHAnsi" w:hAnsiTheme="minorHAnsi"/>
        </w:rPr>
      </w:pPr>
      <w:r w:rsidRPr="0068237F">
        <w:rPr>
          <w:rStyle w:val="Rimandonotaapidipagina"/>
          <w:rFonts w:asciiTheme="minorHAnsi" w:hAnsiTheme="minorHAnsi"/>
        </w:rPr>
        <w:footnoteRef/>
      </w:r>
      <w:r w:rsidRPr="0068237F">
        <w:rPr>
          <w:rFonts w:asciiTheme="minorHAnsi" w:hAnsiTheme="minorHAnsi"/>
        </w:rPr>
        <w:t xml:space="preserve"> I valori prime sono da intendersi quali massimi medi non quali massimi assoluti.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3E" w:rsidRDefault="000D203E" w:rsidP="008A4E21">
    <w:pPr>
      <w:pStyle w:val="Intestazione"/>
      <w:pBdr>
        <w:bottom w:val="single" w:sz="2" w:space="1" w:color="auto"/>
      </w:pBdr>
      <w:spacing w:after="120"/>
      <w:jc w:val="right"/>
    </w:pPr>
    <w:r>
      <w:rPr>
        <w:noProof/>
      </w:rPr>
      <w:drawing>
        <wp:anchor distT="0" distB="0" distL="114300" distR="114300" simplePos="0" relativeHeight="251665408" behindDoc="0" locked="0" layoutInCell="1" allowOverlap="1">
          <wp:simplePos x="0" y="0"/>
          <wp:positionH relativeFrom="column">
            <wp:posOffset>4592320</wp:posOffset>
          </wp:positionH>
          <wp:positionV relativeFrom="paragraph">
            <wp:posOffset>-128905</wp:posOffset>
          </wp:positionV>
          <wp:extent cx="542925" cy="594995"/>
          <wp:effectExtent l="0" t="0" r="9525" b="0"/>
          <wp:wrapNone/>
          <wp:docPr id="9" name="Immagine 9" descr="F:\Aree\OssImm\Francesca Pagnini\2PROGETTI IN CORSO\2014\Turistico 2014\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ree\OssImm\Francesca Pagnini\2PROGETTI IN CORSO\2014\Turistico 2014\image0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94995"/>
                  </a:xfrm>
                  <a:prstGeom prst="rect">
                    <a:avLst/>
                  </a:prstGeom>
                  <a:noFill/>
                  <a:ln>
                    <a:noFill/>
                  </a:ln>
                </pic:spPr>
              </pic:pic>
            </a:graphicData>
          </a:graphic>
        </wp:anchor>
      </w:drawing>
    </w:r>
    <w:r w:rsidRPr="002D3762">
      <w:rPr>
        <w:noProof/>
      </w:rPr>
      <w:drawing>
        <wp:anchor distT="0" distB="0" distL="114300" distR="114300" simplePos="0" relativeHeight="251657216" behindDoc="0" locked="0" layoutInCell="1" allowOverlap="1">
          <wp:simplePos x="0" y="0"/>
          <wp:positionH relativeFrom="column">
            <wp:posOffset>-1905</wp:posOffset>
          </wp:positionH>
          <wp:positionV relativeFrom="paragraph">
            <wp:posOffset>-135890</wp:posOffset>
          </wp:positionV>
          <wp:extent cx="978535" cy="580390"/>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8535" cy="580390"/>
                  </a:xfrm>
                  <a:prstGeom prst="rect">
                    <a:avLst/>
                  </a:prstGeom>
                  <a:noFill/>
                  <a:ln>
                    <a:noFill/>
                  </a:ln>
                </pic:spPr>
              </pic:pic>
            </a:graphicData>
          </a:graphic>
        </wp:anchor>
      </w:drawing>
    </w:r>
    <w:r>
      <w:rPr>
        <w:noProof/>
      </w:rPr>
      <w:drawing>
        <wp:inline distT="0" distB="0" distL="0" distR="0">
          <wp:extent cx="981075" cy="457200"/>
          <wp:effectExtent l="0" t="0" r="9525" b="0"/>
          <wp:docPr id="4" name="Immagine 9" descr="LOGO CONFCOMMER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CONFCOMMERCI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1075" cy="4572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3E" w:rsidRDefault="000D203E">
    <w:pPr>
      <w:pStyle w:val="Intestazione"/>
    </w:pPr>
    <w:r>
      <w:rPr>
        <w:noProof/>
      </w:rPr>
      <w:drawing>
        <wp:anchor distT="0" distB="0" distL="114300" distR="114300" simplePos="0" relativeHeight="251667456" behindDoc="0" locked="0" layoutInCell="1" allowOverlap="1">
          <wp:simplePos x="0" y="0"/>
          <wp:positionH relativeFrom="column">
            <wp:posOffset>4985385</wp:posOffset>
          </wp:positionH>
          <wp:positionV relativeFrom="paragraph">
            <wp:posOffset>889635</wp:posOffset>
          </wp:positionV>
          <wp:extent cx="819150" cy="897890"/>
          <wp:effectExtent l="0" t="0" r="0" b="0"/>
          <wp:wrapNone/>
          <wp:docPr id="5" name="Immagine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97890"/>
                  </a:xfrm>
                  <a:prstGeom prst="rect">
                    <a:avLst/>
                  </a:prstGeom>
                  <a:noFill/>
                </pic:spPr>
              </pic:pic>
            </a:graphicData>
          </a:graphic>
        </wp:anchor>
      </w:drawing>
    </w:r>
    <w:r>
      <w:rPr>
        <w:rFonts w:ascii="Calibri" w:hAnsi="Calibri"/>
        <w:b/>
        <w:i/>
        <w:noProof/>
        <w:color w:val="000000"/>
        <w:sz w:val="32"/>
        <w:szCs w:val="32"/>
      </w:rPr>
      <w:drawing>
        <wp:anchor distT="0" distB="0" distL="114300" distR="114300" simplePos="0" relativeHeight="251659264" behindDoc="0" locked="0" layoutInCell="1" allowOverlap="1">
          <wp:simplePos x="0" y="0"/>
          <wp:positionH relativeFrom="column">
            <wp:posOffset>73025</wp:posOffset>
          </wp:positionH>
          <wp:positionV relativeFrom="paragraph">
            <wp:posOffset>864235</wp:posOffset>
          </wp:positionV>
          <wp:extent cx="1540510" cy="914400"/>
          <wp:effectExtent l="0" t="0" r="254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0510" cy="914400"/>
                  </a:xfrm>
                  <a:prstGeom prst="rect">
                    <a:avLst/>
                  </a:prstGeom>
                  <a:noFill/>
                  <a:ln>
                    <a:noFill/>
                  </a:ln>
                </pic:spPr>
              </pic:pic>
            </a:graphicData>
          </a:graphic>
        </wp:anchor>
      </w:drawing>
    </w:r>
    <w:r w:rsidRPr="002D3762">
      <w:rPr>
        <w:snapToGrid w:val="0"/>
        <w:color w:val="000000"/>
        <w:w w:val="0"/>
        <w:sz w:val="0"/>
        <w:szCs w:val="0"/>
        <w:u w:color="000000"/>
        <w:bdr w:val="none" w:sz="0" w:space="0" w:color="000000"/>
        <w:shd w:val="clear" w:color="000000" w:fill="000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9192D"/>
    <w:multiLevelType w:val="hybridMultilevel"/>
    <w:tmpl w:val="9D648C6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5AB63258"/>
    <w:multiLevelType w:val="hybridMultilevel"/>
    <w:tmpl w:val="1E7A9F1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63E92459"/>
    <w:multiLevelType w:val="hybridMultilevel"/>
    <w:tmpl w:val="5F42BA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1DC5FC3"/>
    <w:multiLevelType w:val="hybridMultilevel"/>
    <w:tmpl w:val="2CAE82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Formatting/>
  <w:documentProtection w:edit="trackedChanges" w:enforcement="0"/>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602"/>
    <w:rsid w:val="00002C12"/>
    <w:rsid w:val="00002E27"/>
    <w:rsid w:val="00003318"/>
    <w:rsid w:val="000149FE"/>
    <w:rsid w:val="000251ED"/>
    <w:rsid w:val="000268C1"/>
    <w:rsid w:val="00032A42"/>
    <w:rsid w:val="000458CF"/>
    <w:rsid w:val="00052395"/>
    <w:rsid w:val="00073B14"/>
    <w:rsid w:val="00077198"/>
    <w:rsid w:val="0009207A"/>
    <w:rsid w:val="0009799C"/>
    <w:rsid w:val="00097E9A"/>
    <w:rsid w:val="000A553E"/>
    <w:rsid w:val="000B0BCD"/>
    <w:rsid w:val="000B575C"/>
    <w:rsid w:val="000C003A"/>
    <w:rsid w:val="000C1555"/>
    <w:rsid w:val="000D203E"/>
    <w:rsid w:val="000D69E5"/>
    <w:rsid w:val="000D7640"/>
    <w:rsid w:val="000E17D1"/>
    <w:rsid w:val="0010768A"/>
    <w:rsid w:val="00115CDF"/>
    <w:rsid w:val="00126AC8"/>
    <w:rsid w:val="001313C1"/>
    <w:rsid w:val="001534C0"/>
    <w:rsid w:val="0015563B"/>
    <w:rsid w:val="0015611C"/>
    <w:rsid w:val="001572CE"/>
    <w:rsid w:val="00161EC2"/>
    <w:rsid w:val="00167778"/>
    <w:rsid w:val="00170F64"/>
    <w:rsid w:val="00176583"/>
    <w:rsid w:val="001845DF"/>
    <w:rsid w:val="0019429B"/>
    <w:rsid w:val="001A3468"/>
    <w:rsid w:val="001A35B3"/>
    <w:rsid w:val="001A5409"/>
    <w:rsid w:val="001A7245"/>
    <w:rsid w:val="001B3F93"/>
    <w:rsid w:val="001C12EE"/>
    <w:rsid w:val="001C1DB8"/>
    <w:rsid w:val="001C4A04"/>
    <w:rsid w:val="001F0AA4"/>
    <w:rsid w:val="001F1801"/>
    <w:rsid w:val="00202F6E"/>
    <w:rsid w:val="00204746"/>
    <w:rsid w:val="0021460A"/>
    <w:rsid w:val="00216F93"/>
    <w:rsid w:val="00224C40"/>
    <w:rsid w:val="00233F7C"/>
    <w:rsid w:val="00234C64"/>
    <w:rsid w:val="00261881"/>
    <w:rsid w:val="00262584"/>
    <w:rsid w:val="00264809"/>
    <w:rsid w:val="00284BD6"/>
    <w:rsid w:val="0028773A"/>
    <w:rsid w:val="00295F1B"/>
    <w:rsid w:val="002979BE"/>
    <w:rsid w:val="002C1088"/>
    <w:rsid w:val="002C1729"/>
    <w:rsid w:val="002D3762"/>
    <w:rsid w:val="002D78BD"/>
    <w:rsid w:val="002F0AF4"/>
    <w:rsid w:val="002F6528"/>
    <w:rsid w:val="002F6F6E"/>
    <w:rsid w:val="003175D9"/>
    <w:rsid w:val="00321D49"/>
    <w:rsid w:val="00325A69"/>
    <w:rsid w:val="00346450"/>
    <w:rsid w:val="00346ABC"/>
    <w:rsid w:val="003516B6"/>
    <w:rsid w:val="0035263B"/>
    <w:rsid w:val="00364602"/>
    <w:rsid w:val="003678A4"/>
    <w:rsid w:val="00375A39"/>
    <w:rsid w:val="003A7274"/>
    <w:rsid w:val="003A7623"/>
    <w:rsid w:val="003B50D9"/>
    <w:rsid w:val="003B5CE0"/>
    <w:rsid w:val="003C060B"/>
    <w:rsid w:val="003D3270"/>
    <w:rsid w:val="003D3670"/>
    <w:rsid w:val="003F450A"/>
    <w:rsid w:val="0041163B"/>
    <w:rsid w:val="004134AE"/>
    <w:rsid w:val="00421BD4"/>
    <w:rsid w:val="004334B9"/>
    <w:rsid w:val="00433ED5"/>
    <w:rsid w:val="0043545C"/>
    <w:rsid w:val="00447C1C"/>
    <w:rsid w:val="004527F2"/>
    <w:rsid w:val="00464424"/>
    <w:rsid w:val="004670CE"/>
    <w:rsid w:val="004738DE"/>
    <w:rsid w:val="00480222"/>
    <w:rsid w:val="0048635A"/>
    <w:rsid w:val="00486B1F"/>
    <w:rsid w:val="004A01CD"/>
    <w:rsid w:val="004A177A"/>
    <w:rsid w:val="004A29DB"/>
    <w:rsid w:val="004A4F2A"/>
    <w:rsid w:val="004B5739"/>
    <w:rsid w:val="004B735C"/>
    <w:rsid w:val="004D2B7B"/>
    <w:rsid w:val="004D6035"/>
    <w:rsid w:val="004E2076"/>
    <w:rsid w:val="004E3938"/>
    <w:rsid w:val="004F63F3"/>
    <w:rsid w:val="005013C2"/>
    <w:rsid w:val="005025ED"/>
    <w:rsid w:val="00504513"/>
    <w:rsid w:val="0050454B"/>
    <w:rsid w:val="0051067D"/>
    <w:rsid w:val="00514FB7"/>
    <w:rsid w:val="0052757E"/>
    <w:rsid w:val="00527B68"/>
    <w:rsid w:val="00536C7A"/>
    <w:rsid w:val="0056531D"/>
    <w:rsid w:val="00571016"/>
    <w:rsid w:val="005750E9"/>
    <w:rsid w:val="005751CB"/>
    <w:rsid w:val="00575691"/>
    <w:rsid w:val="00582B11"/>
    <w:rsid w:val="00583877"/>
    <w:rsid w:val="00592D6A"/>
    <w:rsid w:val="005933D1"/>
    <w:rsid w:val="005942A3"/>
    <w:rsid w:val="005A0A58"/>
    <w:rsid w:val="005A0D42"/>
    <w:rsid w:val="005A1207"/>
    <w:rsid w:val="005A6382"/>
    <w:rsid w:val="005B3ACD"/>
    <w:rsid w:val="005C11B2"/>
    <w:rsid w:val="005D35E9"/>
    <w:rsid w:val="005E16C0"/>
    <w:rsid w:val="005F14C8"/>
    <w:rsid w:val="005F49BD"/>
    <w:rsid w:val="00612ABB"/>
    <w:rsid w:val="0061393C"/>
    <w:rsid w:val="00623961"/>
    <w:rsid w:val="00625A85"/>
    <w:rsid w:val="006344E1"/>
    <w:rsid w:val="006432F2"/>
    <w:rsid w:val="006561E7"/>
    <w:rsid w:val="0066700F"/>
    <w:rsid w:val="00671323"/>
    <w:rsid w:val="0068237F"/>
    <w:rsid w:val="00684FCF"/>
    <w:rsid w:val="00691109"/>
    <w:rsid w:val="00697AAF"/>
    <w:rsid w:val="006A0BF2"/>
    <w:rsid w:val="006A10E4"/>
    <w:rsid w:val="006A383C"/>
    <w:rsid w:val="006A427A"/>
    <w:rsid w:val="006C0255"/>
    <w:rsid w:val="006C0271"/>
    <w:rsid w:val="006C36D3"/>
    <w:rsid w:val="006C3B5C"/>
    <w:rsid w:val="006C4DF4"/>
    <w:rsid w:val="006C6DE9"/>
    <w:rsid w:val="006C6E61"/>
    <w:rsid w:val="006D3C3D"/>
    <w:rsid w:val="006D6509"/>
    <w:rsid w:val="006E2E9E"/>
    <w:rsid w:val="006E4643"/>
    <w:rsid w:val="006E4A48"/>
    <w:rsid w:val="006F6E3E"/>
    <w:rsid w:val="00707A17"/>
    <w:rsid w:val="00730030"/>
    <w:rsid w:val="00733D27"/>
    <w:rsid w:val="007351F6"/>
    <w:rsid w:val="00740A87"/>
    <w:rsid w:val="00741D79"/>
    <w:rsid w:val="00743303"/>
    <w:rsid w:val="007443E9"/>
    <w:rsid w:val="007469F5"/>
    <w:rsid w:val="00753C86"/>
    <w:rsid w:val="00760BF0"/>
    <w:rsid w:val="00771EF7"/>
    <w:rsid w:val="007A3992"/>
    <w:rsid w:val="007A4858"/>
    <w:rsid w:val="007A64EE"/>
    <w:rsid w:val="007B1694"/>
    <w:rsid w:val="007B44FF"/>
    <w:rsid w:val="007B6950"/>
    <w:rsid w:val="007C0B66"/>
    <w:rsid w:val="007C3223"/>
    <w:rsid w:val="007C3764"/>
    <w:rsid w:val="007D1EDF"/>
    <w:rsid w:val="007D32E8"/>
    <w:rsid w:val="007D5AA4"/>
    <w:rsid w:val="007F37E0"/>
    <w:rsid w:val="00802A5B"/>
    <w:rsid w:val="0081339A"/>
    <w:rsid w:val="00813DE3"/>
    <w:rsid w:val="00823B23"/>
    <w:rsid w:val="00831C9D"/>
    <w:rsid w:val="0083793A"/>
    <w:rsid w:val="00856627"/>
    <w:rsid w:val="00864A95"/>
    <w:rsid w:val="008858C8"/>
    <w:rsid w:val="00893C10"/>
    <w:rsid w:val="0089484C"/>
    <w:rsid w:val="008972E6"/>
    <w:rsid w:val="00897A38"/>
    <w:rsid w:val="008A1AEB"/>
    <w:rsid w:val="008A4E21"/>
    <w:rsid w:val="008A6E01"/>
    <w:rsid w:val="008B7E41"/>
    <w:rsid w:val="008D062F"/>
    <w:rsid w:val="008D2645"/>
    <w:rsid w:val="008D2F7D"/>
    <w:rsid w:val="008D7331"/>
    <w:rsid w:val="008E050B"/>
    <w:rsid w:val="008F3A38"/>
    <w:rsid w:val="0090056D"/>
    <w:rsid w:val="00900FA7"/>
    <w:rsid w:val="00915F00"/>
    <w:rsid w:val="009334E3"/>
    <w:rsid w:val="009526CE"/>
    <w:rsid w:val="00991B0A"/>
    <w:rsid w:val="0099794E"/>
    <w:rsid w:val="009A328E"/>
    <w:rsid w:val="009B610A"/>
    <w:rsid w:val="009C42A8"/>
    <w:rsid w:val="009C5CE1"/>
    <w:rsid w:val="009C78FC"/>
    <w:rsid w:val="009D1C10"/>
    <w:rsid w:val="009D59AA"/>
    <w:rsid w:val="009D67DC"/>
    <w:rsid w:val="009D7668"/>
    <w:rsid w:val="009E20FD"/>
    <w:rsid w:val="009E7B3C"/>
    <w:rsid w:val="009F3C49"/>
    <w:rsid w:val="00A02EB4"/>
    <w:rsid w:val="00A13210"/>
    <w:rsid w:val="00A20A33"/>
    <w:rsid w:val="00A21056"/>
    <w:rsid w:val="00A22364"/>
    <w:rsid w:val="00A23258"/>
    <w:rsid w:val="00A301AA"/>
    <w:rsid w:val="00A337CE"/>
    <w:rsid w:val="00A52092"/>
    <w:rsid w:val="00A611E3"/>
    <w:rsid w:val="00A730BA"/>
    <w:rsid w:val="00AC5889"/>
    <w:rsid w:val="00AD3815"/>
    <w:rsid w:val="00AE50F2"/>
    <w:rsid w:val="00AF06EB"/>
    <w:rsid w:val="00AF3CF5"/>
    <w:rsid w:val="00B057C6"/>
    <w:rsid w:val="00B176F1"/>
    <w:rsid w:val="00B21983"/>
    <w:rsid w:val="00B23B9D"/>
    <w:rsid w:val="00B25BF8"/>
    <w:rsid w:val="00B341AE"/>
    <w:rsid w:val="00B37398"/>
    <w:rsid w:val="00B41D26"/>
    <w:rsid w:val="00B53EB9"/>
    <w:rsid w:val="00B605A0"/>
    <w:rsid w:val="00B66678"/>
    <w:rsid w:val="00B74650"/>
    <w:rsid w:val="00B76E47"/>
    <w:rsid w:val="00B9680F"/>
    <w:rsid w:val="00BA12B8"/>
    <w:rsid w:val="00BB1615"/>
    <w:rsid w:val="00BB583E"/>
    <w:rsid w:val="00BC0139"/>
    <w:rsid w:val="00BC4B97"/>
    <w:rsid w:val="00BC5846"/>
    <w:rsid w:val="00BD452D"/>
    <w:rsid w:val="00BF3C11"/>
    <w:rsid w:val="00C04B49"/>
    <w:rsid w:val="00C07801"/>
    <w:rsid w:val="00C226E9"/>
    <w:rsid w:val="00C25B34"/>
    <w:rsid w:val="00C347B9"/>
    <w:rsid w:val="00C35CC4"/>
    <w:rsid w:val="00C50228"/>
    <w:rsid w:val="00C51F61"/>
    <w:rsid w:val="00C52CB7"/>
    <w:rsid w:val="00C61B0B"/>
    <w:rsid w:val="00C71A77"/>
    <w:rsid w:val="00C720C6"/>
    <w:rsid w:val="00C72373"/>
    <w:rsid w:val="00C73A6B"/>
    <w:rsid w:val="00C765C8"/>
    <w:rsid w:val="00C77547"/>
    <w:rsid w:val="00C77B57"/>
    <w:rsid w:val="00C82DCF"/>
    <w:rsid w:val="00C86D36"/>
    <w:rsid w:val="00CA2679"/>
    <w:rsid w:val="00CA2C0B"/>
    <w:rsid w:val="00CB214E"/>
    <w:rsid w:val="00CB4779"/>
    <w:rsid w:val="00CC3C69"/>
    <w:rsid w:val="00CC41FA"/>
    <w:rsid w:val="00CC76A7"/>
    <w:rsid w:val="00CD4EBB"/>
    <w:rsid w:val="00CF182C"/>
    <w:rsid w:val="00CF1C82"/>
    <w:rsid w:val="00CF2ECA"/>
    <w:rsid w:val="00D06810"/>
    <w:rsid w:val="00D1515D"/>
    <w:rsid w:val="00D3198C"/>
    <w:rsid w:val="00D335AF"/>
    <w:rsid w:val="00D346D7"/>
    <w:rsid w:val="00D3726F"/>
    <w:rsid w:val="00D44743"/>
    <w:rsid w:val="00D5008E"/>
    <w:rsid w:val="00D50CA5"/>
    <w:rsid w:val="00D61316"/>
    <w:rsid w:val="00D67779"/>
    <w:rsid w:val="00D859D7"/>
    <w:rsid w:val="00D8778F"/>
    <w:rsid w:val="00DA3DB3"/>
    <w:rsid w:val="00DB0182"/>
    <w:rsid w:val="00DB5FBA"/>
    <w:rsid w:val="00DC0FC2"/>
    <w:rsid w:val="00DE0DFB"/>
    <w:rsid w:val="00DF00F7"/>
    <w:rsid w:val="00DF1E84"/>
    <w:rsid w:val="00DF5534"/>
    <w:rsid w:val="00DF5BB0"/>
    <w:rsid w:val="00DF6093"/>
    <w:rsid w:val="00DF7D06"/>
    <w:rsid w:val="00E029FB"/>
    <w:rsid w:val="00E04C12"/>
    <w:rsid w:val="00E07925"/>
    <w:rsid w:val="00E116C8"/>
    <w:rsid w:val="00E13F8E"/>
    <w:rsid w:val="00E22790"/>
    <w:rsid w:val="00E27478"/>
    <w:rsid w:val="00E349C4"/>
    <w:rsid w:val="00E44897"/>
    <w:rsid w:val="00E65333"/>
    <w:rsid w:val="00E7663C"/>
    <w:rsid w:val="00E80022"/>
    <w:rsid w:val="00E814EA"/>
    <w:rsid w:val="00E839AF"/>
    <w:rsid w:val="00E9116D"/>
    <w:rsid w:val="00E9333A"/>
    <w:rsid w:val="00E93DED"/>
    <w:rsid w:val="00EA36C5"/>
    <w:rsid w:val="00EA4BE5"/>
    <w:rsid w:val="00EA4E01"/>
    <w:rsid w:val="00EB055B"/>
    <w:rsid w:val="00EB20F7"/>
    <w:rsid w:val="00EB3AE3"/>
    <w:rsid w:val="00EB4499"/>
    <w:rsid w:val="00EB6E74"/>
    <w:rsid w:val="00EC45EC"/>
    <w:rsid w:val="00EC469A"/>
    <w:rsid w:val="00ED0C7F"/>
    <w:rsid w:val="00ED4CD8"/>
    <w:rsid w:val="00EE325E"/>
    <w:rsid w:val="00EE766C"/>
    <w:rsid w:val="00EE7E50"/>
    <w:rsid w:val="00EF12C4"/>
    <w:rsid w:val="00EF2F69"/>
    <w:rsid w:val="00EF314B"/>
    <w:rsid w:val="00EF4800"/>
    <w:rsid w:val="00F02CF0"/>
    <w:rsid w:val="00F0365C"/>
    <w:rsid w:val="00F07FAE"/>
    <w:rsid w:val="00F13CF1"/>
    <w:rsid w:val="00F171FB"/>
    <w:rsid w:val="00F21E09"/>
    <w:rsid w:val="00F23EA6"/>
    <w:rsid w:val="00F27DE3"/>
    <w:rsid w:val="00F27FA9"/>
    <w:rsid w:val="00F335F2"/>
    <w:rsid w:val="00F34283"/>
    <w:rsid w:val="00F36BB9"/>
    <w:rsid w:val="00F5371D"/>
    <w:rsid w:val="00F537B5"/>
    <w:rsid w:val="00F56574"/>
    <w:rsid w:val="00F617BC"/>
    <w:rsid w:val="00F63B06"/>
    <w:rsid w:val="00F72B38"/>
    <w:rsid w:val="00F9000B"/>
    <w:rsid w:val="00F90D56"/>
    <w:rsid w:val="00F910D0"/>
    <w:rsid w:val="00FA4D09"/>
    <w:rsid w:val="00FA77A6"/>
    <w:rsid w:val="00FC30BB"/>
    <w:rsid w:val="00FC4118"/>
    <w:rsid w:val="00FC4DF6"/>
    <w:rsid w:val="00FC569A"/>
    <w:rsid w:val="00FC7BBB"/>
    <w:rsid w:val="00FD183D"/>
    <w:rsid w:val="00FD5589"/>
    <w:rsid w:val="00FD65F8"/>
    <w:rsid w:val="00FE0A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4602"/>
    <w:pPr>
      <w:spacing w:after="0" w:line="240" w:lineRule="auto"/>
      <w:jc w:val="both"/>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6D3C3D"/>
    <w:pPr>
      <w:spacing w:after="0" w:line="240" w:lineRule="auto"/>
    </w:pPr>
    <w:rPr>
      <w:rFonts w:ascii="Calibri" w:hAnsi="Calibri" w:cs="Times New Roman"/>
      <w:b/>
      <w:bCs/>
      <w:cap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D3C3D"/>
    <w:pPr>
      <w:ind w:left="720"/>
      <w:contextualSpacing/>
    </w:pPr>
  </w:style>
  <w:style w:type="paragraph" w:customStyle="1" w:styleId="Paragrafoelenco1">
    <w:name w:val="Paragrafo elenco1"/>
    <w:basedOn w:val="Normale"/>
    <w:uiPriority w:val="99"/>
    <w:rsid w:val="006D3C3D"/>
    <w:pPr>
      <w:ind w:left="720"/>
    </w:pPr>
    <w:rPr>
      <w:rFonts w:eastAsia="Calibri"/>
    </w:rPr>
  </w:style>
  <w:style w:type="paragraph" w:customStyle="1" w:styleId="testo2">
    <w:name w:val="testo2"/>
    <w:basedOn w:val="Normale"/>
    <w:uiPriority w:val="99"/>
    <w:rsid w:val="006D3C3D"/>
    <w:pPr>
      <w:widowControl w:val="0"/>
      <w:spacing w:before="120" w:line="360" w:lineRule="auto"/>
    </w:pPr>
  </w:style>
  <w:style w:type="paragraph" w:styleId="Intestazione">
    <w:name w:val="header"/>
    <w:basedOn w:val="Normale"/>
    <w:link w:val="IntestazioneCarattere"/>
    <w:uiPriority w:val="99"/>
    <w:unhideWhenUsed/>
    <w:rsid w:val="00AE50F2"/>
    <w:pPr>
      <w:tabs>
        <w:tab w:val="center" w:pos="4819"/>
        <w:tab w:val="right" w:pos="9638"/>
      </w:tabs>
    </w:pPr>
  </w:style>
  <w:style w:type="character" w:customStyle="1" w:styleId="IntestazioneCarattere">
    <w:name w:val="Intestazione Carattere"/>
    <w:basedOn w:val="Carpredefinitoparagrafo"/>
    <w:link w:val="Intestazione"/>
    <w:uiPriority w:val="99"/>
    <w:rsid w:val="00AE50F2"/>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AE50F2"/>
    <w:pPr>
      <w:tabs>
        <w:tab w:val="center" w:pos="4819"/>
        <w:tab w:val="right" w:pos="9638"/>
      </w:tabs>
    </w:pPr>
  </w:style>
  <w:style w:type="character" w:customStyle="1" w:styleId="PidipaginaCarattere">
    <w:name w:val="Piè di pagina Carattere"/>
    <w:basedOn w:val="Carpredefinitoparagrafo"/>
    <w:link w:val="Pidipagina"/>
    <w:uiPriority w:val="99"/>
    <w:rsid w:val="00AE50F2"/>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F63B0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63B06"/>
    <w:rPr>
      <w:rFonts w:ascii="Tahoma" w:eastAsia="Times New Roman" w:hAnsi="Tahoma" w:cs="Tahoma"/>
      <w:sz w:val="16"/>
      <w:szCs w:val="16"/>
      <w:lang w:eastAsia="it-IT"/>
    </w:rPr>
  </w:style>
  <w:style w:type="paragraph" w:customStyle="1" w:styleId="Default">
    <w:name w:val="Default"/>
    <w:uiPriority w:val="99"/>
    <w:rsid w:val="00575691"/>
    <w:pPr>
      <w:autoSpaceDE w:val="0"/>
      <w:autoSpaceDN w:val="0"/>
      <w:adjustRightInd w:val="0"/>
      <w:spacing w:after="0" w:line="240" w:lineRule="auto"/>
    </w:pPr>
    <w:rPr>
      <w:rFonts w:ascii="Calibri" w:hAnsi="Calibri" w:cs="Calibri"/>
      <w:color w:val="000000"/>
      <w:sz w:val="24"/>
      <w:szCs w:val="24"/>
    </w:rPr>
  </w:style>
  <w:style w:type="paragraph" w:styleId="Revisione">
    <w:name w:val="Revision"/>
    <w:hidden/>
    <w:uiPriority w:val="99"/>
    <w:semiHidden/>
    <w:rsid w:val="00FC4DF6"/>
    <w:pPr>
      <w:spacing w:after="0" w:line="240" w:lineRule="auto"/>
    </w:pPr>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uiPriority w:val="99"/>
    <w:semiHidden/>
    <w:unhideWhenUsed/>
    <w:rsid w:val="0068237F"/>
    <w:rPr>
      <w:sz w:val="20"/>
    </w:rPr>
  </w:style>
  <w:style w:type="character" w:customStyle="1" w:styleId="TestonotaapidipaginaCarattere">
    <w:name w:val="Testo nota a piè di pagina Carattere"/>
    <w:basedOn w:val="Carpredefinitoparagrafo"/>
    <w:link w:val="Testonotaapidipagina"/>
    <w:uiPriority w:val="99"/>
    <w:semiHidden/>
    <w:rsid w:val="0068237F"/>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68237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4602"/>
    <w:pPr>
      <w:spacing w:after="0" w:line="240" w:lineRule="auto"/>
      <w:jc w:val="both"/>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6D3C3D"/>
    <w:pPr>
      <w:spacing w:after="0" w:line="240" w:lineRule="auto"/>
    </w:pPr>
    <w:rPr>
      <w:rFonts w:ascii="Calibri" w:hAnsi="Calibri" w:cs="Times New Roman"/>
      <w:b/>
      <w:bCs/>
      <w:cap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D3C3D"/>
    <w:pPr>
      <w:ind w:left="720"/>
      <w:contextualSpacing/>
    </w:pPr>
  </w:style>
  <w:style w:type="paragraph" w:customStyle="1" w:styleId="Paragrafoelenco1">
    <w:name w:val="Paragrafo elenco1"/>
    <w:basedOn w:val="Normale"/>
    <w:uiPriority w:val="99"/>
    <w:rsid w:val="006D3C3D"/>
    <w:pPr>
      <w:ind w:left="720"/>
    </w:pPr>
    <w:rPr>
      <w:rFonts w:eastAsia="Calibri"/>
    </w:rPr>
  </w:style>
  <w:style w:type="paragraph" w:customStyle="1" w:styleId="testo2">
    <w:name w:val="testo2"/>
    <w:basedOn w:val="Normale"/>
    <w:uiPriority w:val="99"/>
    <w:rsid w:val="006D3C3D"/>
    <w:pPr>
      <w:widowControl w:val="0"/>
      <w:spacing w:before="120" w:line="360" w:lineRule="auto"/>
    </w:pPr>
  </w:style>
  <w:style w:type="paragraph" w:styleId="Intestazione">
    <w:name w:val="header"/>
    <w:basedOn w:val="Normale"/>
    <w:link w:val="IntestazioneCarattere"/>
    <w:uiPriority w:val="99"/>
    <w:unhideWhenUsed/>
    <w:rsid w:val="00AE50F2"/>
    <w:pPr>
      <w:tabs>
        <w:tab w:val="center" w:pos="4819"/>
        <w:tab w:val="right" w:pos="9638"/>
      </w:tabs>
    </w:pPr>
  </w:style>
  <w:style w:type="character" w:customStyle="1" w:styleId="IntestazioneCarattere">
    <w:name w:val="Intestazione Carattere"/>
    <w:basedOn w:val="Carpredefinitoparagrafo"/>
    <w:link w:val="Intestazione"/>
    <w:uiPriority w:val="99"/>
    <w:rsid w:val="00AE50F2"/>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AE50F2"/>
    <w:pPr>
      <w:tabs>
        <w:tab w:val="center" w:pos="4819"/>
        <w:tab w:val="right" w:pos="9638"/>
      </w:tabs>
    </w:pPr>
  </w:style>
  <w:style w:type="character" w:customStyle="1" w:styleId="PidipaginaCarattere">
    <w:name w:val="Piè di pagina Carattere"/>
    <w:basedOn w:val="Carpredefinitoparagrafo"/>
    <w:link w:val="Pidipagina"/>
    <w:uiPriority w:val="99"/>
    <w:rsid w:val="00AE50F2"/>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F63B0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63B06"/>
    <w:rPr>
      <w:rFonts w:ascii="Tahoma" w:eastAsia="Times New Roman" w:hAnsi="Tahoma" w:cs="Tahoma"/>
      <w:sz w:val="16"/>
      <w:szCs w:val="16"/>
      <w:lang w:eastAsia="it-IT"/>
    </w:rPr>
  </w:style>
  <w:style w:type="paragraph" w:customStyle="1" w:styleId="Default">
    <w:name w:val="Default"/>
    <w:uiPriority w:val="99"/>
    <w:rsid w:val="00575691"/>
    <w:pPr>
      <w:autoSpaceDE w:val="0"/>
      <w:autoSpaceDN w:val="0"/>
      <w:adjustRightInd w:val="0"/>
      <w:spacing w:after="0" w:line="240" w:lineRule="auto"/>
    </w:pPr>
    <w:rPr>
      <w:rFonts w:ascii="Calibri" w:hAnsi="Calibri" w:cs="Calibri"/>
      <w:color w:val="000000"/>
      <w:sz w:val="24"/>
      <w:szCs w:val="24"/>
    </w:rPr>
  </w:style>
  <w:style w:type="paragraph" w:styleId="Revisione">
    <w:name w:val="Revision"/>
    <w:hidden/>
    <w:uiPriority w:val="99"/>
    <w:semiHidden/>
    <w:rsid w:val="00FC4DF6"/>
    <w:pPr>
      <w:spacing w:after="0" w:line="240" w:lineRule="auto"/>
    </w:pPr>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uiPriority w:val="99"/>
    <w:semiHidden/>
    <w:unhideWhenUsed/>
    <w:rsid w:val="0068237F"/>
    <w:rPr>
      <w:sz w:val="20"/>
    </w:rPr>
  </w:style>
  <w:style w:type="character" w:customStyle="1" w:styleId="TestonotaapidipaginaCarattere">
    <w:name w:val="Testo nota a piè di pagina Carattere"/>
    <w:basedOn w:val="Carpredefinitoparagrafo"/>
    <w:link w:val="Testonotaapidipagina"/>
    <w:uiPriority w:val="99"/>
    <w:semiHidden/>
    <w:rsid w:val="0068237F"/>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6823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668221">
      <w:bodyDiv w:val="1"/>
      <w:marLeft w:val="0"/>
      <w:marRight w:val="0"/>
      <w:marTop w:val="0"/>
      <w:marBottom w:val="0"/>
      <w:divBdr>
        <w:top w:val="none" w:sz="0" w:space="0" w:color="auto"/>
        <w:left w:val="none" w:sz="0" w:space="0" w:color="auto"/>
        <w:bottom w:val="none" w:sz="0" w:space="0" w:color="auto"/>
        <w:right w:val="none" w:sz="0" w:space="0" w:color="auto"/>
      </w:divBdr>
    </w:div>
    <w:div w:id="379549862">
      <w:bodyDiv w:val="1"/>
      <w:marLeft w:val="0"/>
      <w:marRight w:val="0"/>
      <w:marTop w:val="0"/>
      <w:marBottom w:val="0"/>
      <w:divBdr>
        <w:top w:val="none" w:sz="0" w:space="0" w:color="auto"/>
        <w:left w:val="none" w:sz="0" w:space="0" w:color="auto"/>
        <w:bottom w:val="none" w:sz="0" w:space="0" w:color="auto"/>
        <w:right w:val="none" w:sz="0" w:space="0" w:color="auto"/>
      </w:divBdr>
    </w:div>
    <w:div w:id="491220476">
      <w:bodyDiv w:val="1"/>
      <w:marLeft w:val="0"/>
      <w:marRight w:val="0"/>
      <w:marTop w:val="0"/>
      <w:marBottom w:val="0"/>
      <w:divBdr>
        <w:top w:val="none" w:sz="0" w:space="0" w:color="auto"/>
        <w:left w:val="none" w:sz="0" w:space="0" w:color="auto"/>
        <w:bottom w:val="none" w:sz="0" w:space="0" w:color="auto"/>
        <w:right w:val="none" w:sz="0" w:space="0" w:color="auto"/>
      </w:divBdr>
    </w:div>
    <w:div w:id="757212766">
      <w:bodyDiv w:val="1"/>
      <w:marLeft w:val="0"/>
      <w:marRight w:val="0"/>
      <w:marTop w:val="0"/>
      <w:marBottom w:val="0"/>
      <w:divBdr>
        <w:top w:val="none" w:sz="0" w:space="0" w:color="auto"/>
        <w:left w:val="none" w:sz="0" w:space="0" w:color="auto"/>
        <w:bottom w:val="none" w:sz="0" w:space="0" w:color="auto"/>
        <w:right w:val="none" w:sz="0" w:space="0" w:color="auto"/>
      </w:divBdr>
    </w:div>
    <w:div w:id="771055119">
      <w:bodyDiv w:val="1"/>
      <w:marLeft w:val="0"/>
      <w:marRight w:val="0"/>
      <w:marTop w:val="0"/>
      <w:marBottom w:val="0"/>
      <w:divBdr>
        <w:top w:val="none" w:sz="0" w:space="0" w:color="auto"/>
        <w:left w:val="none" w:sz="0" w:space="0" w:color="auto"/>
        <w:bottom w:val="none" w:sz="0" w:space="0" w:color="auto"/>
        <w:right w:val="none" w:sz="0" w:space="0" w:color="auto"/>
      </w:divBdr>
    </w:div>
    <w:div w:id="893201504">
      <w:bodyDiv w:val="1"/>
      <w:marLeft w:val="0"/>
      <w:marRight w:val="0"/>
      <w:marTop w:val="0"/>
      <w:marBottom w:val="0"/>
      <w:divBdr>
        <w:top w:val="none" w:sz="0" w:space="0" w:color="auto"/>
        <w:left w:val="none" w:sz="0" w:space="0" w:color="auto"/>
        <w:bottom w:val="none" w:sz="0" w:space="0" w:color="auto"/>
        <w:right w:val="none" w:sz="0" w:space="0" w:color="auto"/>
      </w:divBdr>
    </w:div>
    <w:div w:id="935551748">
      <w:bodyDiv w:val="1"/>
      <w:marLeft w:val="0"/>
      <w:marRight w:val="0"/>
      <w:marTop w:val="0"/>
      <w:marBottom w:val="0"/>
      <w:divBdr>
        <w:top w:val="none" w:sz="0" w:space="0" w:color="auto"/>
        <w:left w:val="none" w:sz="0" w:space="0" w:color="auto"/>
        <w:bottom w:val="none" w:sz="0" w:space="0" w:color="auto"/>
        <w:right w:val="none" w:sz="0" w:space="0" w:color="auto"/>
      </w:divBdr>
    </w:div>
    <w:div w:id="1016998825">
      <w:bodyDiv w:val="1"/>
      <w:marLeft w:val="0"/>
      <w:marRight w:val="0"/>
      <w:marTop w:val="0"/>
      <w:marBottom w:val="0"/>
      <w:divBdr>
        <w:top w:val="none" w:sz="0" w:space="0" w:color="auto"/>
        <w:left w:val="none" w:sz="0" w:space="0" w:color="auto"/>
        <w:bottom w:val="none" w:sz="0" w:space="0" w:color="auto"/>
        <w:right w:val="none" w:sz="0" w:space="0" w:color="auto"/>
      </w:divBdr>
    </w:div>
    <w:div w:id="1117024108">
      <w:bodyDiv w:val="1"/>
      <w:marLeft w:val="0"/>
      <w:marRight w:val="0"/>
      <w:marTop w:val="0"/>
      <w:marBottom w:val="0"/>
      <w:divBdr>
        <w:top w:val="none" w:sz="0" w:space="0" w:color="auto"/>
        <w:left w:val="none" w:sz="0" w:space="0" w:color="auto"/>
        <w:bottom w:val="none" w:sz="0" w:space="0" w:color="auto"/>
        <w:right w:val="none" w:sz="0" w:space="0" w:color="auto"/>
      </w:divBdr>
    </w:div>
    <w:div w:id="1367562018">
      <w:bodyDiv w:val="1"/>
      <w:marLeft w:val="0"/>
      <w:marRight w:val="0"/>
      <w:marTop w:val="0"/>
      <w:marBottom w:val="0"/>
      <w:divBdr>
        <w:top w:val="none" w:sz="0" w:space="0" w:color="auto"/>
        <w:left w:val="none" w:sz="0" w:space="0" w:color="auto"/>
        <w:bottom w:val="none" w:sz="0" w:space="0" w:color="auto"/>
        <w:right w:val="none" w:sz="0" w:space="0" w:color="auto"/>
      </w:divBdr>
    </w:div>
    <w:div w:id="1651707510">
      <w:bodyDiv w:val="1"/>
      <w:marLeft w:val="0"/>
      <w:marRight w:val="0"/>
      <w:marTop w:val="0"/>
      <w:marBottom w:val="0"/>
      <w:divBdr>
        <w:top w:val="none" w:sz="0" w:space="0" w:color="auto"/>
        <w:left w:val="none" w:sz="0" w:space="0" w:color="auto"/>
        <w:bottom w:val="none" w:sz="0" w:space="0" w:color="auto"/>
        <w:right w:val="none" w:sz="0" w:space="0" w:color="auto"/>
      </w:divBdr>
    </w:div>
    <w:div w:id="1712068703">
      <w:bodyDiv w:val="1"/>
      <w:marLeft w:val="0"/>
      <w:marRight w:val="0"/>
      <w:marTop w:val="0"/>
      <w:marBottom w:val="0"/>
      <w:divBdr>
        <w:top w:val="none" w:sz="0" w:space="0" w:color="auto"/>
        <w:left w:val="none" w:sz="0" w:space="0" w:color="auto"/>
        <w:bottom w:val="none" w:sz="0" w:space="0" w:color="auto"/>
        <w:right w:val="none" w:sz="0" w:space="0" w:color="auto"/>
      </w:divBdr>
    </w:div>
    <w:div w:id="2093771933">
      <w:bodyDiv w:val="1"/>
      <w:marLeft w:val="0"/>
      <w:marRight w:val="0"/>
      <w:marTop w:val="0"/>
      <w:marBottom w:val="0"/>
      <w:divBdr>
        <w:top w:val="none" w:sz="0" w:space="0" w:color="auto"/>
        <w:left w:val="none" w:sz="0" w:space="0" w:color="auto"/>
        <w:bottom w:val="none" w:sz="0" w:space="0" w:color="auto"/>
        <w:right w:val="none" w:sz="0" w:space="0" w:color="auto"/>
      </w:divBdr>
    </w:div>
    <w:div w:id="2095079366">
      <w:bodyDiv w:val="1"/>
      <w:marLeft w:val="0"/>
      <w:marRight w:val="0"/>
      <w:marTop w:val="0"/>
      <w:marBottom w:val="0"/>
      <w:divBdr>
        <w:top w:val="none" w:sz="0" w:space="0" w:color="auto"/>
        <w:left w:val="none" w:sz="0" w:space="0" w:color="auto"/>
        <w:bottom w:val="none" w:sz="0" w:space="0" w:color="auto"/>
        <w:right w:val="none" w:sz="0" w:space="0" w:color="auto"/>
      </w:divBdr>
    </w:div>
    <w:div w:id="2131706145">
      <w:bodyDiv w:val="1"/>
      <w:marLeft w:val="0"/>
      <w:marRight w:val="0"/>
      <w:marTop w:val="0"/>
      <w:marBottom w:val="0"/>
      <w:divBdr>
        <w:top w:val="none" w:sz="0" w:space="0" w:color="auto"/>
        <w:left w:val="none" w:sz="0" w:space="0" w:color="auto"/>
        <w:bottom w:val="none" w:sz="0" w:space="0" w:color="auto"/>
        <w:right w:val="none" w:sz="0" w:space="0" w:color="auto"/>
      </w:divBdr>
    </w:div>
    <w:div w:id="2137406574">
      <w:bodyDiv w:val="1"/>
      <w:marLeft w:val="0"/>
      <w:marRight w:val="0"/>
      <w:marTop w:val="0"/>
      <w:marBottom w:val="0"/>
      <w:divBdr>
        <w:top w:val="none" w:sz="0" w:space="0" w:color="auto"/>
        <w:left w:val="none" w:sz="0" w:space="0" w:color="auto"/>
        <w:bottom w:val="none" w:sz="0" w:space="0" w:color="auto"/>
        <w:right w:val="none" w:sz="0" w:space="0" w:color="auto"/>
      </w:divBdr>
    </w:div>
    <w:div w:id="214685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s>
</file>

<file path=word/_rels/head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pn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BE217-E383-4047-B4F7-487BDEEE4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2188</Words>
  <Characters>12473</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Molignoni</dc:creator>
  <cp:lastModifiedBy>moretti</cp:lastModifiedBy>
  <cp:revision>2</cp:revision>
  <cp:lastPrinted>2017-07-25T12:42:00Z</cp:lastPrinted>
  <dcterms:created xsi:type="dcterms:W3CDTF">2017-08-02T16:05:00Z</dcterms:created>
  <dcterms:modified xsi:type="dcterms:W3CDTF">2017-08-02T16:05:00Z</dcterms:modified>
</cp:coreProperties>
</file>