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E" w:rsidRDefault="00CA763E" w:rsidP="003E34B3">
      <w:pPr>
        <w:jc w:val="both"/>
        <w:rPr>
          <w:rFonts w:ascii="Verdana" w:hAnsi="Verdana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-11430</wp:posOffset>
            </wp:positionV>
            <wp:extent cx="1268730" cy="1182370"/>
            <wp:effectExtent l="19050" t="0" r="7620" b="0"/>
            <wp:wrapSquare wrapText="right"/>
            <wp:docPr id="26" name="Immagine 1" descr="http://www.lucasani.it/wp-content/uploads/2008/08/confturism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ucasani.it/wp-content/uploads/2008/08/confturismo-1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-11430</wp:posOffset>
            </wp:positionV>
            <wp:extent cx="2400300" cy="1065530"/>
            <wp:effectExtent l="19050" t="0" r="0" b="0"/>
            <wp:wrapTopAndBottom/>
            <wp:docPr id="2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</w:p>
    <w:p w:rsidR="00181B14" w:rsidRDefault="00181B14" w:rsidP="003E34B3">
      <w:pPr>
        <w:jc w:val="both"/>
        <w:rPr>
          <w:rFonts w:ascii="Verdana" w:hAnsi="Verdana"/>
          <w:sz w:val="20"/>
        </w:rPr>
      </w:pPr>
    </w:p>
    <w:p w:rsidR="0001739D" w:rsidRDefault="0001739D" w:rsidP="003E34B3">
      <w:pPr>
        <w:jc w:val="both"/>
        <w:rPr>
          <w:rFonts w:ascii="Verdana" w:hAnsi="Verdana"/>
          <w:sz w:val="20"/>
        </w:rPr>
      </w:pPr>
    </w:p>
    <w:p w:rsidR="002F589D" w:rsidRPr="001D79DE" w:rsidRDefault="002F589D" w:rsidP="003E34B3">
      <w:pPr>
        <w:jc w:val="both"/>
        <w:rPr>
          <w:rFonts w:ascii="Verdana" w:hAnsi="Verdana"/>
          <w:sz w:val="20"/>
        </w:rPr>
      </w:pPr>
    </w:p>
    <w:p w:rsidR="00B9034E" w:rsidRDefault="005B10E9">
      <w:pPr>
        <w:jc w:val="both"/>
        <w:rPr>
          <w:rFonts w:ascii="Verdana" w:hAnsi="Verdana"/>
          <w:sz w:val="20"/>
        </w:rPr>
      </w:pPr>
      <w:r w:rsidRPr="001D79D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</w:p>
    <w:p w:rsidR="00A373E6" w:rsidRDefault="00A373E6" w:rsidP="00B9034E">
      <w:pPr>
        <w:ind w:left="5664" w:firstLine="708"/>
        <w:jc w:val="both"/>
        <w:rPr>
          <w:rFonts w:ascii="Verdana" w:hAnsi="Verdana"/>
          <w:sz w:val="20"/>
        </w:rPr>
      </w:pPr>
    </w:p>
    <w:p w:rsidR="00AB15F1" w:rsidRDefault="00057EA4" w:rsidP="00057EA4">
      <w:pPr>
        <w:tabs>
          <w:tab w:val="left" w:pos="7267"/>
        </w:tabs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ab/>
      </w:r>
    </w:p>
    <w:p w:rsidR="00B9034E" w:rsidRDefault="00B9034E" w:rsidP="00043F17">
      <w:pPr>
        <w:ind w:left="-426" w:right="139"/>
        <w:jc w:val="center"/>
        <w:rPr>
          <w:rFonts w:ascii="Verdana" w:hAnsi="Verdana"/>
          <w:sz w:val="22"/>
          <w:szCs w:val="22"/>
          <w:u w:val="single"/>
        </w:rPr>
      </w:pPr>
    </w:p>
    <w:p w:rsidR="00A373E6" w:rsidRPr="00486015" w:rsidRDefault="00A373E6" w:rsidP="00B14BA9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  <w:r w:rsidRPr="00486015">
        <w:rPr>
          <w:rFonts w:ascii="Verdana" w:eastAsia="+mn-ea" w:hAnsi="Verdana" w:cs="+mn-cs"/>
          <w:kern w:val="24"/>
          <w:sz w:val="22"/>
          <w:szCs w:val="22"/>
        </w:rPr>
        <w:t xml:space="preserve">Il turismo italiano dipende sempre di più dai flussi internazionali. Nel 2016 gli arrivi stranieri sono stati poco meno di </w:t>
      </w:r>
      <w:r w:rsidRPr="00486015">
        <w:rPr>
          <w:rFonts w:ascii="Verdana" w:eastAsia="+mn-ea" w:hAnsi="Verdana" w:cs="+mn-cs"/>
          <w:bCs/>
          <w:kern w:val="24"/>
          <w:sz w:val="22"/>
          <w:szCs w:val="22"/>
        </w:rPr>
        <w:t xml:space="preserve">56 milioni </w:t>
      </w:r>
      <w:r w:rsidRPr="00486015">
        <w:rPr>
          <w:rFonts w:ascii="Verdana" w:eastAsia="+mn-ea" w:hAnsi="Verdana" w:cs="+mn-cs"/>
          <w:kern w:val="24"/>
          <w:sz w:val="22"/>
          <w:szCs w:val="22"/>
        </w:rPr>
        <w:t>con una crescita dell’</w:t>
      </w:r>
      <w:r w:rsidRPr="00486015">
        <w:rPr>
          <w:rFonts w:ascii="Verdana" w:eastAsia="+mn-ea" w:hAnsi="Verdana" w:cs="+mn-cs"/>
          <w:bCs/>
          <w:kern w:val="24"/>
          <w:sz w:val="22"/>
          <w:szCs w:val="22"/>
        </w:rPr>
        <w:t xml:space="preserve">1% </w:t>
      </w:r>
      <w:r w:rsidRPr="00486015">
        <w:rPr>
          <w:rFonts w:ascii="Verdana" w:eastAsia="+mn-ea" w:hAnsi="Verdana" w:cs="+mn-cs"/>
          <w:kern w:val="24"/>
          <w:sz w:val="22"/>
          <w:szCs w:val="22"/>
        </w:rPr>
        <w:t xml:space="preserve">sull’anno precedente. Si consolida lo straordinario risultato del 2015 quando la crescita degli arrivi ha sfiorato il </w:t>
      </w:r>
      <w:r w:rsidRPr="00486015">
        <w:rPr>
          <w:rFonts w:ascii="Verdana" w:eastAsia="+mn-ea" w:hAnsi="Verdana" w:cs="+mn-cs"/>
          <w:bCs/>
          <w:kern w:val="24"/>
          <w:sz w:val="22"/>
          <w:szCs w:val="22"/>
        </w:rPr>
        <w:t>7%</w:t>
      </w:r>
      <w:r w:rsidRPr="00486015">
        <w:rPr>
          <w:rFonts w:ascii="Verdana" w:eastAsia="+mn-ea" w:hAnsi="Verdana" w:cs="+mn-cs"/>
          <w:kern w:val="24"/>
          <w:sz w:val="22"/>
          <w:szCs w:val="22"/>
        </w:rPr>
        <w:t xml:space="preserve">. Nel lungo periodo che va dal 2001 al 2016 gli arrivi internazionali sono cresciuti del </w:t>
      </w:r>
      <w:r w:rsidRPr="00486015">
        <w:rPr>
          <w:rFonts w:ascii="Verdana" w:eastAsia="+mn-ea" w:hAnsi="Verdana" w:cs="+mn-cs"/>
          <w:bCs/>
          <w:kern w:val="24"/>
          <w:sz w:val="22"/>
          <w:szCs w:val="22"/>
        </w:rPr>
        <w:t>55%</w:t>
      </w:r>
      <w:r w:rsidRPr="00486015">
        <w:rPr>
          <w:rFonts w:ascii="Verdana" w:eastAsia="+mn-ea" w:hAnsi="Verdana" w:cs="+mn-cs"/>
          <w:kern w:val="24"/>
          <w:sz w:val="22"/>
          <w:szCs w:val="22"/>
        </w:rPr>
        <w:t xml:space="preserve"> e le presenze di circa il </w:t>
      </w:r>
      <w:r w:rsidRPr="00486015">
        <w:rPr>
          <w:rFonts w:ascii="Verdana" w:eastAsia="+mn-ea" w:hAnsi="Verdana" w:cs="+mn-cs"/>
          <w:bCs/>
          <w:kern w:val="24"/>
          <w:sz w:val="22"/>
          <w:szCs w:val="22"/>
        </w:rPr>
        <w:t>35%</w:t>
      </w:r>
      <w:r w:rsidRPr="00486015">
        <w:rPr>
          <w:rFonts w:ascii="Verdana" w:eastAsia="+mn-ea" w:hAnsi="Verdana" w:cs="+mn-cs"/>
          <w:kern w:val="24"/>
          <w:sz w:val="22"/>
          <w:szCs w:val="22"/>
        </w:rPr>
        <w:t xml:space="preserve"> ad un tasso medio annuo</w:t>
      </w:r>
      <w:bookmarkStart w:id="0" w:name="_GoBack"/>
      <w:bookmarkEnd w:id="0"/>
      <w:r w:rsidRPr="00486015">
        <w:rPr>
          <w:rFonts w:ascii="Verdana" w:eastAsia="+mn-ea" w:hAnsi="Verdana" w:cs="+mn-cs"/>
          <w:kern w:val="24"/>
          <w:sz w:val="22"/>
          <w:szCs w:val="22"/>
        </w:rPr>
        <w:t xml:space="preserve">, rispettivamente, del </w:t>
      </w:r>
      <w:r w:rsidRPr="00486015">
        <w:rPr>
          <w:rFonts w:ascii="Verdana" w:eastAsia="+mn-ea" w:hAnsi="Verdana" w:cs="+mn-cs"/>
          <w:bCs/>
          <w:kern w:val="24"/>
          <w:sz w:val="22"/>
          <w:szCs w:val="22"/>
        </w:rPr>
        <w:t>3%</w:t>
      </w:r>
      <w:r w:rsidRPr="00486015">
        <w:rPr>
          <w:rFonts w:ascii="Verdana" w:eastAsia="+mn-ea" w:hAnsi="Verdana" w:cs="+mn-cs"/>
          <w:kern w:val="24"/>
          <w:sz w:val="22"/>
          <w:szCs w:val="22"/>
        </w:rPr>
        <w:t xml:space="preserve"> e del </w:t>
      </w:r>
      <w:r w:rsidRPr="00486015">
        <w:rPr>
          <w:rFonts w:ascii="Verdana" w:eastAsia="+mn-ea" w:hAnsi="Verdana" w:cs="+mn-cs"/>
          <w:bCs/>
          <w:kern w:val="24"/>
          <w:sz w:val="22"/>
          <w:szCs w:val="22"/>
        </w:rPr>
        <w:t>2% (fig. 1)</w:t>
      </w:r>
      <w:r w:rsidRPr="00486015">
        <w:rPr>
          <w:rFonts w:ascii="Verdana" w:eastAsia="+mn-ea" w:hAnsi="Verdana" w:cs="+mn-cs"/>
          <w:kern w:val="24"/>
          <w:sz w:val="22"/>
          <w:szCs w:val="22"/>
        </w:rPr>
        <w:t xml:space="preserve">.  </w:t>
      </w:r>
    </w:p>
    <w:p w:rsidR="00043F17" w:rsidRPr="00486015" w:rsidRDefault="00043F17" w:rsidP="00043F17">
      <w:pPr>
        <w:ind w:left="-426" w:right="139"/>
        <w:jc w:val="both"/>
        <w:rPr>
          <w:rFonts w:ascii="Verdana" w:eastAsia="+mn-ea" w:hAnsi="Verdana" w:cs="+mn-cs"/>
          <w:kern w:val="24"/>
          <w:sz w:val="22"/>
          <w:szCs w:val="22"/>
        </w:rPr>
      </w:pPr>
      <w:r w:rsidRPr="00486015">
        <w:rPr>
          <w:rFonts w:ascii="Verdana" w:eastAsia="+mn-ea" w:hAnsi="Verdana" w:cs="+mn-cs"/>
          <w:kern w:val="24"/>
          <w:sz w:val="22"/>
          <w:szCs w:val="22"/>
        </w:rPr>
        <w:t xml:space="preserve">E’ proprio grazie agli stranieri che il bilancio del turismo italiano resta positivo. Gli arrivi e le presenze italiane sono calate nel 2016 rispettivamente del 2% e dell’1% ed oggi risultano al di sotto dei livelli del 2001 per effetto di una flessione progressiva iniziata a partire dal 2007. Se nel 2001 ad </w:t>
      </w:r>
      <w:r w:rsidRPr="00486015">
        <w:rPr>
          <w:rFonts w:ascii="Verdana" w:eastAsia="+mn-ea" w:hAnsi="Verdana" w:cs="+mn-cs"/>
          <w:bCs/>
          <w:kern w:val="24"/>
          <w:sz w:val="22"/>
          <w:szCs w:val="22"/>
        </w:rPr>
        <w:t xml:space="preserve">ogni presenza straniera </w:t>
      </w:r>
      <w:r w:rsidRPr="00486015">
        <w:rPr>
          <w:rFonts w:ascii="Verdana" w:eastAsia="+mn-ea" w:hAnsi="Verdana" w:cs="+mn-cs"/>
          <w:kern w:val="24"/>
          <w:sz w:val="22"/>
          <w:szCs w:val="22"/>
        </w:rPr>
        <w:t xml:space="preserve">ne corrispondeva </w:t>
      </w:r>
      <w:r w:rsidRPr="00486015">
        <w:rPr>
          <w:rFonts w:ascii="Verdana" w:eastAsia="+mn-ea" w:hAnsi="Verdana" w:cs="+mn-cs"/>
          <w:bCs/>
          <w:kern w:val="24"/>
          <w:sz w:val="22"/>
          <w:szCs w:val="22"/>
        </w:rPr>
        <w:t>1,4 italiana</w:t>
      </w:r>
      <w:r w:rsidRPr="00486015">
        <w:rPr>
          <w:rFonts w:ascii="Verdana" w:eastAsia="+mn-ea" w:hAnsi="Verdana" w:cs="+mn-cs"/>
          <w:kern w:val="24"/>
          <w:sz w:val="22"/>
          <w:szCs w:val="22"/>
        </w:rPr>
        <w:t xml:space="preserve">, nel 2016 il rapporto è di </w:t>
      </w:r>
      <w:r w:rsidRPr="00486015">
        <w:rPr>
          <w:rFonts w:ascii="Verdana" w:eastAsia="+mn-ea" w:hAnsi="Verdana" w:cs="+mn-cs"/>
          <w:bCs/>
          <w:kern w:val="24"/>
          <w:sz w:val="22"/>
          <w:szCs w:val="22"/>
        </w:rPr>
        <w:t>1 a 1</w:t>
      </w:r>
      <w:r w:rsidRPr="00486015">
        <w:rPr>
          <w:rFonts w:ascii="Verdana" w:eastAsia="+mn-ea" w:hAnsi="Verdana" w:cs="+mn-cs"/>
          <w:kern w:val="24"/>
          <w:sz w:val="22"/>
          <w:szCs w:val="22"/>
        </w:rPr>
        <w:t xml:space="preserve">. Oggi, quindi, le presenze degli stranieri sono equivalenti a quelle degli italiani. </w:t>
      </w:r>
    </w:p>
    <w:p w:rsidR="002228E7" w:rsidRDefault="002228E7" w:rsidP="00043F17">
      <w:pPr>
        <w:ind w:left="-426" w:right="139"/>
        <w:jc w:val="both"/>
        <w:rPr>
          <w:rFonts w:ascii="Verdana" w:eastAsia="+mn-ea" w:hAnsi="Verdana" w:cs="+mn-cs"/>
          <w:kern w:val="24"/>
          <w:sz w:val="21"/>
          <w:szCs w:val="21"/>
        </w:rPr>
      </w:pPr>
    </w:p>
    <w:p w:rsidR="00736B1A" w:rsidRPr="00736B1A" w:rsidRDefault="00A64524" w:rsidP="00736B1A">
      <w:pPr>
        <w:ind w:left="-426" w:right="139"/>
        <w:jc w:val="both"/>
        <w:rPr>
          <w:rFonts w:ascii="Verdana" w:eastAsia="+mn-ea" w:hAnsi="Verdana" w:cs="+mn-cs"/>
          <w:kern w:val="24"/>
          <w:sz w:val="21"/>
          <w:szCs w:val="21"/>
        </w:rPr>
      </w:pPr>
      <w:r>
        <w:rPr>
          <w:rFonts w:ascii="Verdana" w:eastAsia="+mn-ea" w:hAnsi="Verdana" w:cs="+mn-cs"/>
          <w:kern w:val="24"/>
          <w:sz w:val="21"/>
          <w:szCs w:val="21"/>
        </w:rPr>
        <w:t>Fig. 1</w:t>
      </w:r>
      <w:r w:rsidR="00736B1A">
        <w:rPr>
          <w:rFonts w:ascii="Verdana" w:eastAsia="+mn-ea" w:hAnsi="Verdana" w:cs="+mn-cs"/>
          <w:kern w:val="24"/>
          <w:sz w:val="21"/>
          <w:szCs w:val="21"/>
        </w:rPr>
        <w:t xml:space="preserve"> - </w:t>
      </w:r>
      <w:r w:rsidR="00736B1A" w:rsidRPr="00736B1A">
        <w:rPr>
          <w:rFonts w:ascii="Verdana" w:eastAsia="+mn-ea" w:hAnsi="Verdana" w:cs="+mn-cs"/>
          <w:b/>
          <w:bCs/>
          <w:kern w:val="24"/>
          <w:sz w:val="21"/>
          <w:szCs w:val="21"/>
        </w:rPr>
        <w:t>Italia: arrivi e presenze internazionali</w:t>
      </w:r>
      <w:r w:rsidR="00736B1A">
        <w:rPr>
          <w:rFonts w:ascii="Verdana" w:eastAsia="+mn-ea" w:hAnsi="Verdana" w:cs="+mn-cs"/>
          <w:b/>
          <w:bCs/>
          <w:kern w:val="24"/>
          <w:sz w:val="21"/>
          <w:szCs w:val="21"/>
        </w:rPr>
        <w:t xml:space="preserve"> </w:t>
      </w:r>
      <w:r w:rsidR="00736B1A" w:rsidRPr="00736B1A">
        <w:rPr>
          <w:rFonts w:ascii="Verdana" w:eastAsia="+mn-ea" w:hAnsi="Verdana" w:cs="+mn-cs"/>
          <w:i/>
          <w:iCs/>
          <w:kern w:val="24"/>
          <w:sz w:val="21"/>
          <w:szCs w:val="21"/>
        </w:rPr>
        <w:t>(valori assoluti 2001-2016)</w:t>
      </w:r>
    </w:p>
    <w:p w:rsidR="007F7D51" w:rsidRDefault="007F7D51" w:rsidP="00043F17">
      <w:pPr>
        <w:ind w:left="-426" w:right="139"/>
        <w:jc w:val="both"/>
        <w:rPr>
          <w:rFonts w:ascii="Verdana" w:eastAsia="+mn-ea" w:hAnsi="Verdana" w:cs="+mn-cs"/>
          <w:kern w:val="24"/>
          <w:sz w:val="21"/>
          <w:szCs w:val="21"/>
        </w:rPr>
      </w:pPr>
    </w:p>
    <w:p w:rsidR="002228E7" w:rsidRDefault="00736B1A" w:rsidP="00043F17">
      <w:pPr>
        <w:ind w:left="-426" w:right="139"/>
        <w:jc w:val="both"/>
        <w:rPr>
          <w:rFonts w:ascii="Verdana" w:eastAsia="+mn-ea" w:hAnsi="Verdana" w:cs="+mn-cs"/>
          <w:kern w:val="24"/>
          <w:sz w:val="21"/>
          <w:szCs w:val="21"/>
        </w:rPr>
      </w:pPr>
      <w:r>
        <w:rPr>
          <w:noProof/>
        </w:rPr>
        <w:drawing>
          <wp:inline distT="0" distB="0" distL="0" distR="0" wp14:anchorId="0FDA011B" wp14:editId="101B91F2">
            <wp:extent cx="5980670" cy="4018901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83507" cy="402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42" w:rsidRDefault="00ED4542" w:rsidP="00ED4542">
      <w:pPr>
        <w:ind w:left="-426" w:right="139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Fonte: elaborazione</w:t>
      </w:r>
      <w:r w:rsidRPr="00D9442D">
        <w:rPr>
          <w:rFonts w:ascii="Verdana" w:hAnsi="Verdana"/>
          <w:i/>
          <w:sz w:val="18"/>
          <w:szCs w:val="18"/>
        </w:rPr>
        <w:t xml:space="preserve"> Confturismo</w:t>
      </w:r>
      <w:r>
        <w:rPr>
          <w:rFonts w:ascii="Verdana" w:hAnsi="Verdana"/>
          <w:i/>
          <w:sz w:val="18"/>
          <w:szCs w:val="18"/>
        </w:rPr>
        <w:t xml:space="preserve"> su dati Istat</w:t>
      </w:r>
    </w:p>
    <w:p w:rsidR="002228E7" w:rsidRDefault="002228E7" w:rsidP="00043F17">
      <w:pPr>
        <w:ind w:left="-426" w:right="139"/>
        <w:jc w:val="both"/>
        <w:rPr>
          <w:rFonts w:ascii="Verdana" w:eastAsia="+mn-ea" w:hAnsi="Verdana" w:cs="+mn-cs"/>
          <w:kern w:val="24"/>
          <w:sz w:val="21"/>
          <w:szCs w:val="21"/>
        </w:rPr>
      </w:pPr>
    </w:p>
    <w:p w:rsidR="002228E7" w:rsidRPr="00043F17" w:rsidRDefault="002228E7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043F17" w:rsidRPr="00486015" w:rsidRDefault="00043F17" w:rsidP="00043F17">
      <w:pPr>
        <w:ind w:left="-426" w:right="139"/>
        <w:jc w:val="both"/>
        <w:rPr>
          <w:rFonts w:ascii="Verdana" w:eastAsia="Calibri" w:hAnsi="Verdana"/>
          <w:kern w:val="24"/>
          <w:sz w:val="22"/>
          <w:szCs w:val="22"/>
        </w:rPr>
      </w:pPr>
      <w:r w:rsidRPr="00486015">
        <w:rPr>
          <w:rFonts w:ascii="Verdana" w:eastAsia="Calibri" w:hAnsi="Verdana"/>
          <w:kern w:val="24"/>
          <w:sz w:val="22"/>
          <w:szCs w:val="22"/>
        </w:rPr>
        <w:t xml:space="preserve">Qualche segnale positivo arriva anche dalla permanenza media che sale da 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 xml:space="preserve">3,4 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a 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 xml:space="preserve">3,5 giorni 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per gli 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 xml:space="preserve">italiani </w:t>
      </w:r>
      <w:r w:rsidRPr="00486015">
        <w:rPr>
          <w:rFonts w:ascii="Verdana" w:eastAsia="Calibri" w:hAnsi="Verdana"/>
          <w:kern w:val="24"/>
          <w:sz w:val="22"/>
          <w:szCs w:val="22"/>
        </w:rPr>
        <w:t>e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 xml:space="preserve"> 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da 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>3,5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 a 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 xml:space="preserve">3,6 giorni 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per gli 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>stranieri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. Appena un decimale, ossia </w:t>
      </w:r>
      <w:r w:rsidRPr="00486015">
        <w:rPr>
          <w:rFonts w:ascii="Verdana" w:eastAsia="Calibri" w:hAnsi="Verdana"/>
          <w:kern w:val="24"/>
          <w:sz w:val="22"/>
          <w:szCs w:val="22"/>
        </w:rPr>
        <w:lastRenderedPageBreak/>
        <w:t xml:space="preserve">poco più di due ore, che nel caso del turismo internazionale vale 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 xml:space="preserve">600 milioni di euro </w:t>
      </w:r>
      <w:r w:rsidRPr="00486015">
        <w:rPr>
          <w:rFonts w:ascii="Verdana" w:eastAsia="Calibri" w:hAnsi="Verdana"/>
          <w:kern w:val="24"/>
          <w:sz w:val="22"/>
          <w:szCs w:val="22"/>
        </w:rPr>
        <w:t>di entrate valutarie aggiuntive. Un risultato che, tuttavia, non è sufficiente a modificare il trend negativo che va avanti da almeno quindici anni quando ogni turista, sia italiano che straniero, restava in vacanza almeno mezza giornata in più</w:t>
      </w:r>
      <w:r w:rsidR="0029287F" w:rsidRPr="00486015">
        <w:rPr>
          <w:rFonts w:ascii="Verdana" w:eastAsia="Calibri" w:hAnsi="Verdana"/>
          <w:kern w:val="24"/>
          <w:sz w:val="22"/>
          <w:szCs w:val="22"/>
        </w:rPr>
        <w:t xml:space="preserve"> (fig.2)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. L’affermazione di modelli di visita sempre più caratterizzati dal </w:t>
      </w:r>
      <w:r w:rsidRPr="00486015">
        <w:rPr>
          <w:rFonts w:ascii="Verdana" w:eastAsia="Calibri" w:hAnsi="Verdana"/>
          <w:i/>
          <w:iCs/>
          <w:kern w:val="24"/>
          <w:sz w:val="22"/>
          <w:szCs w:val="22"/>
        </w:rPr>
        <w:t xml:space="preserve">mordi e fuggi </w:t>
      </w:r>
      <w:r w:rsidRPr="00486015">
        <w:rPr>
          <w:rFonts w:ascii="Verdana" w:eastAsia="Calibri" w:hAnsi="Verdana"/>
          <w:kern w:val="24"/>
          <w:sz w:val="22"/>
          <w:szCs w:val="22"/>
        </w:rPr>
        <w:t>si traducono in meno consumi e meno ricchezza.</w:t>
      </w:r>
      <w:r w:rsidRPr="00486015">
        <w:rPr>
          <w:rFonts w:ascii="Verdana" w:eastAsia="Calibri" w:hAnsi="Verdana"/>
          <w:i/>
          <w:iCs/>
          <w:kern w:val="24"/>
          <w:sz w:val="22"/>
          <w:szCs w:val="22"/>
        </w:rPr>
        <w:t xml:space="preserve">  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Sono i nostri principali mercati </w:t>
      </w:r>
      <w:proofErr w:type="spellStart"/>
      <w:r w:rsidRPr="00486015">
        <w:rPr>
          <w:rFonts w:ascii="Verdana" w:eastAsia="Calibri" w:hAnsi="Verdana"/>
          <w:kern w:val="24"/>
          <w:sz w:val="22"/>
          <w:szCs w:val="22"/>
        </w:rPr>
        <w:t>incoming</w:t>
      </w:r>
      <w:proofErr w:type="spellEnd"/>
      <w:r w:rsidRPr="00486015">
        <w:rPr>
          <w:rFonts w:ascii="Verdana" w:eastAsia="Calibri" w:hAnsi="Verdana"/>
          <w:kern w:val="24"/>
          <w:sz w:val="22"/>
          <w:szCs w:val="22"/>
        </w:rPr>
        <w:t xml:space="preserve"> a far segnare importanti riduzioni della permanenza media. Il turismo dalla 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>Germania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 scende da 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>5,5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 a 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>4,9 giorni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, quello 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>inglese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 da 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>4,3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 a 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>3,8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 ed il turismo 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>francese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 da 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>3,4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 a 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>3,1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. A ciò si deve aggiungere che la crescita della quota di mercato del turismo di origine 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>cinese</w:t>
      </w:r>
      <w:r w:rsidRPr="00486015">
        <w:rPr>
          <w:rFonts w:ascii="Verdana" w:eastAsia="Calibri" w:hAnsi="Verdana"/>
          <w:kern w:val="24"/>
          <w:sz w:val="22"/>
          <w:szCs w:val="22"/>
        </w:rPr>
        <w:t>, caratterizzato da una modesta permanenza media (</w:t>
      </w:r>
      <w:r w:rsidRPr="00486015">
        <w:rPr>
          <w:rFonts w:ascii="Verdana" w:eastAsia="Calibri" w:hAnsi="Verdana"/>
          <w:bCs/>
          <w:kern w:val="24"/>
          <w:sz w:val="22"/>
          <w:szCs w:val="22"/>
        </w:rPr>
        <w:t>1,8 giorni</w:t>
      </w:r>
      <w:r w:rsidRPr="00486015">
        <w:rPr>
          <w:rFonts w:ascii="Verdana" w:eastAsia="Calibri" w:hAnsi="Verdana"/>
          <w:kern w:val="24"/>
          <w:sz w:val="22"/>
          <w:szCs w:val="22"/>
        </w:rPr>
        <w:t xml:space="preserve">), impatta ancor più negativamente sul valore medio complessivo. </w:t>
      </w:r>
    </w:p>
    <w:p w:rsidR="00043F17" w:rsidRPr="00043F17" w:rsidRDefault="00043F17" w:rsidP="00043F17">
      <w:pPr>
        <w:ind w:left="-426" w:right="139"/>
        <w:jc w:val="both"/>
        <w:rPr>
          <w:rFonts w:ascii="Verdana" w:eastAsia="Calibri" w:hAnsi="Verdana"/>
          <w:kern w:val="24"/>
          <w:sz w:val="21"/>
          <w:szCs w:val="21"/>
        </w:rPr>
      </w:pPr>
    </w:p>
    <w:p w:rsidR="00A64524" w:rsidRDefault="00A64524" w:rsidP="00043F17">
      <w:pPr>
        <w:ind w:left="-426" w:right="139"/>
        <w:jc w:val="both"/>
        <w:rPr>
          <w:rFonts w:ascii="Verdana" w:eastAsia="Calibri" w:hAnsi="Verdana"/>
          <w:kern w:val="24"/>
          <w:sz w:val="21"/>
          <w:szCs w:val="21"/>
        </w:rPr>
      </w:pPr>
    </w:p>
    <w:p w:rsidR="00736B1A" w:rsidRPr="00F405D2" w:rsidRDefault="00A64524" w:rsidP="00736B1A">
      <w:pPr>
        <w:ind w:left="-426" w:right="139"/>
        <w:jc w:val="center"/>
        <w:rPr>
          <w:rFonts w:ascii="Verdana" w:eastAsia="Calibri" w:hAnsi="Verdana"/>
          <w:i/>
          <w:kern w:val="24"/>
          <w:sz w:val="21"/>
          <w:szCs w:val="21"/>
        </w:rPr>
      </w:pPr>
      <w:r w:rsidRPr="005C3D45">
        <w:rPr>
          <w:rFonts w:ascii="Verdana" w:eastAsia="Calibri" w:hAnsi="Verdana"/>
          <w:kern w:val="24"/>
          <w:sz w:val="21"/>
          <w:szCs w:val="21"/>
        </w:rPr>
        <w:t>Fig.2</w:t>
      </w:r>
      <w:r w:rsidR="00736B1A" w:rsidRPr="00736B1A">
        <w:rPr>
          <w:rFonts w:ascii="Verdana" w:eastAsia="Calibri" w:hAnsi="Verdana"/>
          <w:b/>
          <w:kern w:val="24"/>
          <w:sz w:val="21"/>
          <w:szCs w:val="21"/>
        </w:rPr>
        <w:t xml:space="preserve"> </w:t>
      </w:r>
      <w:r w:rsidR="00736B1A" w:rsidRPr="005C3D45">
        <w:rPr>
          <w:rFonts w:ascii="Verdana" w:eastAsia="Calibri" w:hAnsi="Verdana"/>
          <w:kern w:val="24"/>
          <w:sz w:val="21"/>
          <w:szCs w:val="21"/>
        </w:rPr>
        <w:t>-</w:t>
      </w:r>
      <w:r w:rsidR="00736B1A" w:rsidRPr="00736B1A">
        <w:rPr>
          <w:rFonts w:ascii="Verdana" w:eastAsia="Calibri" w:hAnsi="Verdana"/>
          <w:b/>
          <w:kern w:val="24"/>
          <w:sz w:val="21"/>
          <w:szCs w:val="21"/>
        </w:rPr>
        <w:t xml:space="preserve"> La permanenza media in (lieve) recupero </w:t>
      </w:r>
      <w:r w:rsidR="00736B1A" w:rsidRPr="00F405D2">
        <w:rPr>
          <w:rFonts w:ascii="Verdana" w:eastAsia="Calibri" w:hAnsi="Verdana"/>
          <w:i/>
          <w:kern w:val="24"/>
          <w:sz w:val="21"/>
          <w:szCs w:val="21"/>
        </w:rPr>
        <w:t>(n. giorni per turista straniero)</w:t>
      </w:r>
    </w:p>
    <w:p w:rsidR="00736B1A" w:rsidRDefault="00736B1A" w:rsidP="00043F17">
      <w:pPr>
        <w:ind w:left="-426" w:right="139"/>
        <w:jc w:val="both"/>
        <w:rPr>
          <w:rFonts w:ascii="Verdana" w:eastAsia="Calibri" w:hAnsi="Verdana"/>
          <w:kern w:val="24"/>
          <w:sz w:val="21"/>
          <w:szCs w:val="21"/>
        </w:rPr>
      </w:pPr>
      <w:r>
        <w:rPr>
          <w:noProof/>
        </w:rPr>
        <w:drawing>
          <wp:inline distT="0" distB="0" distL="0" distR="0" wp14:anchorId="5F429266" wp14:editId="17F73AFC">
            <wp:extent cx="6119495" cy="3412606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1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42" w:rsidRDefault="00ED4542" w:rsidP="00ED4542">
      <w:pPr>
        <w:ind w:left="-426" w:right="139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Fonte: elaborazione</w:t>
      </w:r>
      <w:r w:rsidRPr="00D9442D">
        <w:rPr>
          <w:rFonts w:ascii="Verdana" w:hAnsi="Verdana"/>
          <w:i/>
          <w:sz w:val="18"/>
          <w:szCs w:val="18"/>
        </w:rPr>
        <w:t xml:space="preserve"> Confturismo</w:t>
      </w:r>
      <w:r>
        <w:rPr>
          <w:rFonts w:ascii="Verdana" w:hAnsi="Verdana"/>
          <w:i/>
          <w:sz w:val="18"/>
          <w:szCs w:val="18"/>
        </w:rPr>
        <w:t xml:space="preserve"> su dati Istat</w:t>
      </w:r>
    </w:p>
    <w:p w:rsidR="00043F17" w:rsidRDefault="00043F17" w:rsidP="00043F17">
      <w:pPr>
        <w:ind w:left="-426" w:right="139"/>
        <w:jc w:val="both"/>
        <w:rPr>
          <w:rFonts w:ascii="Verdana" w:eastAsia="Calibri" w:hAnsi="Verdana"/>
          <w:kern w:val="24"/>
          <w:sz w:val="21"/>
          <w:szCs w:val="21"/>
        </w:rPr>
      </w:pPr>
    </w:p>
    <w:p w:rsidR="00ED4542" w:rsidRDefault="00ED4542" w:rsidP="00043F17">
      <w:pPr>
        <w:ind w:left="-426" w:right="139"/>
        <w:jc w:val="both"/>
        <w:rPr>
          <w:rFonts w:ascii="Verdana" w:eastAsia="Calibri" w:hAnsi="Verdana"/>
          <w:kern w:val="24"/>
          <w:sz w:val="21"/>
          <w:szCs w:val="21"/>
        </w:rPr>
      </w:pPr>
    </w:p>
    <w:p w:rsidR="00ED4542" w:rsidRPr="00043F17" w:rsidRDefault="00ED4542" w:rsidP="00043F17">
      <w:pPr>
        <w:ind w:left="-426" w:right="139"/>
        <w:jc w:val="both"/>
        <w:rPr>
          <w:rFonts w:ascii="Verdana" w:eastAsia="Calibri" w:hAnsi="Verdana"/>
          <w:kern w:val="24"/>
          <w:sz w:val="21"/>
          <w:szCs w:val="21"/>
        </w:rPr>
      </w:pPr>
    </w:p>
    <w:p w:rsidR="00043F17" w:rsidRPr="00486015" w:rsidRDefault="00043F17" w:rsidP="00043F17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  <w:r w:rsidRPr="00362759">
        <w:rPr>
          <w:rFonts w:ascii="Verdana" w:eastAsia="Times New Roman" w:hAnsi="Verdana"/>
          <w:sz w:val="22"/>
          <w:szCs w:val="22"/>
        </w:rPr>
        <w:t xml:space="preserve">Nel 2016 le entrate valutarie del turismo internazionale hanno raggiunto la cifra di </w:t>
      </w:r>
      <w:r w:rsidRPr="00362759">
        <w:rPr>
          <w:rFonts w:ascii="Verdana" w:eastAsia="Times New Roman" w:hAnsi="Verdana"/>
          <w:bCs/>
          <w:sz w:val="22"/>
          <w:szCs w:val="22"/>
        </w:rPr>
        <w:t>36,7 miliardi di euro</w:t>
      </w:r>
      <w:r w:rsidR="00B40379" w:rsidRPr="00362759">
        <w:rPr>
          <w:rFonts w:ascii="Verdana" w:eastAsia="Times New Roman" w:hAnsi="Verdana"/>
          <w:bCs/>
          <w:sz w:val="22"/>
          <w:szCs w:val="22"/>
        </w:rPr>
        <w:t xml:space="preserve">, </w:t>
      </w:r>
      <w:r w:rsidR="00B40379" w:rsidRPr="00362759">
        <w:rPr>
          <w:rFonts w:ascii="Verdana" w:eastAsia="Times New Roman" w:hAnsi="Verdana"/>
          <w:sz w:val="22"/>
          <w:szCs w:val="22"/>
        </w:rPr>
        <w:t>inflazione compresa,</w:t>
      </w:r>
      <w:r w:rsidRPr="00362759">
        <w:rPr>
          <w:rFonts w:ascii="Verdana" w:eastAsia="Times New Roman" w:hAnsi="Verdana"/>
          <w:sz w:val="22"/>
          <w:szCs w:val="22"/>
        </w:rPr>
        <w:t xml:space="preserve"> con una crescita sul 2015 del 3,3% che, per effetto del processo di deflazione che ha caratterizzato l’economia italiana nel corso dell’anno, si traduce anche in crescita </w:t>
      </w:r>
      <w:r w:rsidR="00387029" w:rsidRPr="00362759">
        <w:rPr>
          <w:rFonts w:ascii="Verdana" w:eastAsia="Times New Roman" w:hAnsi="Verdana"/>
          <w:sz w:val="22"/>
          <w:szCs w:val="22"/>
        </w:rPr>
        <w:t xml:space="preserve">reale </w:t>
      </w:r>
      <w:r w:rsidRPr="00362759">
        <w:rPr>
          <w:rFonts w:ascii="Verdana" w:eastAsia="Times New Roman" w:hAnsi="Verdana"/>
          <w:sz w:val="22"/>
          <w:szCs w:val="22"/>
        </w:rPr>
        <w:t xml:space="preserve">di intensità </w:t>
      </w:r>
      <w:r w:rsidR="00211290" w:rsidRPr="00362759">
        <w:rPr>
          <w:rFonts w:ascii="Verdana" w:eastAsia="Times New Roman" w:hAnsi="Verdana"/>
          <w:sz w:val="22"/>
          <w:szCs w:val="22"/>
        </w:rPr>
        <w:t>leggermente</w:t>
      </w:r>
      <w:r w:rsidRPr="00362759">
        <w:rPr>
          <w:rFonts w:ascii="Verdana" w:eastAsia="Times New Roman" w:hAnsi="Verdana"/>
          <w:color w:val="FF0000"/>
          <w:sz w:val="22"/>
          <w:szCs w:val="22"/>
        </w:rPr>
        <w:t xml:space="preserve"> </w:t>
      </w:r>
      <w:r w:rsidRPr="00362759">
        <w:rPr>
          <w:rFonts w:ascii="Verdana" w:eastAsia="Times New Roman" w:hAnsi="Verdana"/>
          <w:sz w:val="22"/>
          <w:szCs w:val="22"/>
        </w:rPr>
        <w:t>superiore.</w:t>
      </w:r>
      <w:r w:rsidRPr="00B40379">
        <w:rPr>
          <w:rFonts w:ascii="Verdana" w:eastAsia="Times New Roman" w:hAnsi="Verdana"/>
          <w:sz w:val="20"/>
          <w:szCs w:val="22"/>
        </w:rPr>
        <w:t xml:space="preserve">  </w:t>
      </w:r>
      <w:r w:rsidRPr="00486015">
        <w:rPr>
          <w:rFonts w:ascii="Verdana" w:eastAsia="Times New Roman" w:hAnsi="Verdana"/>
          <w:sz w:val="22"/>
          <w:szCs w:val="22"/>
        </w:rPr>
        <w:t>Non possiamo dire lo stesso nel lungo periodo dal momento che la crescita a prezzi 2016 è oggi inferiore di circa un punto percentuale rispetto a quindici anni fa. Va sottolineata, tuttavia, la costante risalita avviata a partire dal 2011 per effetto della quale le entrate valutarie attuali sono tornate ai livelli del 2001.</w:t>
      </w:r>
    </w:p>
    <w:p w:rsidR="00043F17" w:rsidRPr="00486015" w:rsidRDefault="00043F17" w:rsidP="00043F17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  <w:r w:rsidRPr="00486015">
        <w:rPr>
          <w:rFonts w:ascii="Verdana" w:eastAsia="Times New Roman" w:hAnsi="Verdana"/>
          <w:sz w:val="22"/>
          <w:szCs w:val="22"/>
        </w:rPr>
        <w:t>La dinamica reale delle entrate ha visto una prima fase di forte flessione in concomitanza con l’introduzione dell’euro e con l’inizio di un periodo di destabilizzazione generato dal terrorismo internazionale, una seconda fase di recupero nel 2006 compromessa dall’avvio della recessione e</w:t>
      </w:r>
      <w:r w:rsidR="00211290">
        <w:rPr>
          <w:rFonts w:ascii="Verdana" w:eastAsia="Times New Roman" w:hAnsi="Verdana"/>
          <w:sz w:val="22"/>
          <w:szCs w:val="22"/>
        </w:rPr>
        <w:t xml:space="preserve"> la terza di rilancio a partire</w:t>
      </w:r>
      <w:r w:rsidRPr="00486015">
        <w:rPr>
          <w:rFonts w:ascii="Verdana" w:eastAsia="Times New Roman" w:hAnsi="Verdana"/>
          <w:sz w:val="22"/>
          <w:szCs w:val="22"/>
        </w:rPr>
        <w:t>, appunto, dal 2011 tutt’ora in corso.</w:t>
      </w:r>
    </w:p>
    <w:p w:rsidR="00043F17" w:rsidRPr="00486015" w:rsidRDefault="00043F17" w:rsidP="00043F17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  <w:r w:rsidRPr="00486015">
        <w:rPr>
          <w:rFonts w:ascii="Verdana" w:eastAsia="Times New Roman" w:hAnsi="Verdana"/>
          <w:sz w:val="22"/>
          <w:szCs w:val="22"/>
        </w:rPr>
        <w:t xml:space="preserve">Il differente tasso di crescita tra arrivi ed entrate valutarie reali si traduce nella riduzione della spesa media per arrivo. Il valore espresso a prezzi 2016 passa da </w:t>
      </w:r>
      <w:r w:rsidRPr="00486015">
        <w:rPr>
          <w:rFonts w:ascii="Verdana" w:eastAsia="Times New Roman" w:hAnsi="Verdana"/>
          <w:bCs/>
          <w:sz w:val="22"/>
          <w:szCs w:val="22"/>
        </w:rPr>
        <w:t xml:space="preserve">1.034 euro </w:t>
      </w:r>
      <w:r w:rsidRPr="00486015">
        <w:rPr>
          <w:rFonts w:ascii="Verdana" w:eastAsia="Times New Roman" w:hAnsi="Verdana"/>
          <w:sz w:val="22"/>
          <w:szCs w:val="22"/>
        </w:rPr>
        <w:t xml:space="preserve">del 2001 a </w:t>
      </w:r>
      <w:r w:rsidRPr="00486015">
        <w:rPr>
          <w:rFonts w:ascii="Verdana" w:eastAsia="Times New Roman" w:hAnsi="Verdana"/>
          <w:bCs/>
          <w:sz w:val="22"/>
          <w:szCs w:val="22"/>
        </w:rPr>
        <w:t xml:space="preserve">661 euro </w:t>
      </w:r>
      <w:r w:rsidRPr="00486015">
        <w:rPr>
          <w:rFonts w:ascii="Verdana" w:eastAsia="Times New Roman" w:hAnsi="Verdana"/>
          <w:sz w:val="22"/>
          <w:szCs w:val="22"/>
        </w:rPr>
        <w:t xml:space="preserve">del 2016 con una flessione del </w:t>
      </w:r>
      <w:r w:rsidRPr="00486015">
        <w:rPr>
          <w:rFonts w:ascii="Verdana" w:eastAsia="Times New Roman" w:hAnsi="Verdana"/>
          <w:bCs/>
          <w:sz w:val="22"/>
          <w:szCs w:val="22"/>
        </w:rPr>
        <w:t>36%</w:t>
      </w:r>
      <w:r w:rsidR="00C60D49" w:rsidRPr="00486015">
        <w:rPr>
          <w:rFonts w:ascii="Verdana" w:eastAsia="Times New Roman" w:hAnsi="Verdana"/>
          <w:bCs/>
          <w:sz w:val="22"/>
          <w:szCs w:val="22"/>
        </w:rPr>
        <w:t xml:space="preserve"> (fig. 3)</w:t>
      </w:r>
      <w:r w:rsidRPr="00486015">
        <w:rPr>
          <w:rFonts w:ascii="Verdana" w:eastAsia="Times New Roman" w:hAnsi="Verdana"/>
          <w:sz w:val="22"/>
          <w:szCs w:val="22"/>
        </w:rPr>
        <w:t xml:space="preserve">. Come abbiamo anticipato si tratta di un risultato attribuibile al calo della permanenza media. Una simulazione ci </w:t>
      </w:r>
      <w:r w:rsidRPr="00486015">
        <w:rPr>
          <w:rFonts w:ascii="Verdana" w:eastAsia="Times New Roman" w:hAnsi="Verdana"/>
          <w:sz w:val="22"/>
          <w:szCs w:val="22"/>
        </w:rPr>
        <w:lastRenderedPageBreak/>
        <w:t xml:space="preserve">porta a concludere che una permanenza cristallizzata a 4,1 giorni, come nel 2001, avrebbe generato, nel periodo 2001-2016, un incremento cumulato di </w:t>
      </w:r>
      <w:r w:rsidRPr="00486015">
        <w:rPr>
          <w:rFonts w:ascii="Verdana" w:eastAsia="Times New Roman" w:hAnsi="Verdana"/>
          <w:bCs/>
          <w:sz w:val="22"/>
          <w:szCs w:val="22"/>
        </w:rPr>
        <w:t xml:space="preserve">229 milioni di presenze </w:t>
      </w:r>
      <w:r w:rsidRPr="00486015">
        <w:rPr>
          <w:rFonts w:ascii="Verdana" w:eastAsia="Times New Roman" w:hAnsi="Verdana"/>
          <w:sz w:val="22"/>
          <w:szCs w:val="22"/>
        </w:rPr>
        <w:t xml:space="preserve">e di </w:t>
      </w:r>
      <w:r w:rsidRPr="00486015">
        <w:rPr>
          <w:rFonts w:ascii="Verdana" w:eastAsia="Times New Roman" w:hAnsi="Verdana"/>
          <w:bCs/>
          <w:sz w:val="22"/>
          <w:szCs w:val="22"/>
        </w:rPr>
        <w:t xml:space="preserve">45 miliardi di euro di entrate valutarie </w:t>
      </w:r>
      <w:r w:rsidR="00211290" w:rsidRPr="002D3507">
        <w:rPr>
          <w:rFonts w:ascii="Verdana" w:eastAsia="Times New Roman" w:hAnsi="Verdana"/>
          <w:bCs/>
          <w:sz w:val="22"/>
          <w:szCs w:val="22"/>
        </w:rPr>
        <w:t>al netto dell’inflazione</w:t>
      </w:r>
      <w:r w:rsidRPr="00486015">
        <w:rPr>
          <w:rFonts w:ascii="Verdana" w:eastAsia="Times New Roman" w:hAnsi="Verdana"/>
          <w:sz w:val="22"/>
          <w:szCs w:val="22"/>
        </w:rPr>
        <w:t xml:space="preserve">. Ogni anno, dunque, mancano dalla contabilità delle entrate almeno </w:t>
      </w:r>
      <w:r w:rsidRPr="00486015">
        <w:rPr>
          <w:rFonts w:ascii="Verdana" w:eastAsia="Times New Roman" w:hAnsi="Verdana"/>
          <w:bCs/>
          <w:sz w:val="22"/>
          <w:szCs w:val="22"/>
        </w:rPr>
        <w:t>tre miliardi di euro</w:t>
      </w:r>
      <w:r w:rsidRPr="00486015">
        <w:rPr>
          <w:rFonts w:ascii="Verdana" w:eastAsia="Times New Roman" w:hAnsi="Verdana"/>
          <w:sz w:val="22"/>
          <w:szCs w:val="22"/>
        </w:rPr>
        <w:t>. L’allungamento della permanenza media è la vera sfida dei prossimi anni che potrà essere vinta con una politica di promozione ed una politica commerciale in grado di aumentare l’esperienza di visita e le occasioni di spesa.</w:t>
      </w:r>
    </w:p>
    <w:p w:rsidR="00A64524" w:rsidRPr="00486015" w:rsidRDefault="00A64524" w:rsidP="00043F17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206D6" w:rsidRPr="00A206D6" w:rsidRDefault="00A64524" w:rsidP="00A206D6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sz w:val="21"/>
          <w:szCs w:val="21"/>
        </w:rPr>
        <w:t xml:space="preserve">Fig. 3 </w:t>
      </w:r>
      <w:r w:rsidR="005C3D45">
        <w:rPr>
          <w:rFonts w:ascii="Verdana" w:eastAsia="Times New Roman" w:hAnsi="Verdana"/>
          <w:sz w:val="21"/>
          <w:szCs w:val="21"/>
        </w:rPr>
        <w:t xml:space="preserve">- </w:t>
      </w:r>
      <w:r w:rsidR="00A206D6" w:rsidRPr="00A206D6">
        <w:rPr>
          <w:rFonts w:ascii="Verdana" w:eastAsia="Times New Roman" w:hAnsi="Verdana"/>
          <w:b/>
          <w:bCs/>
          <w:sz w:val="21"/>
          <w:szCs w:val="21"/>
        </w:rPr>
        <w:t>Italia: spesa per arrivo</w:t>
      </w:r>
      <w:r w:rsidR="00A206D6">
        <w:rPr>
          <w:rFonts w:ascii="Verdana" w:eastAsia="Times New Roman" w:hAnsi="Verdana"/>
          <w:b/>
          <w:bCs/>
          <w:sz w:val="21"/>
          <w:szCs w:val="21"/>
        </w:rPr>
        <w:t xml:space="preserve"> </w:t>
      </w:r>
      <w:r w:rsidR="00A206D6" w:rsidRPr="00A206D6">
        <w:rPr>
          <w:rFonts w:ascii="Verdana" w:eastAsia="Times New Roman" w:hAnsi="Verdana"/>
          <w:i/>
          <w:iCs/>
          <w:sz w:val="21"/>
          <w:szCs w:val="21"/>
        </w:rPr>
        <w:t>(euro a prezzi 2016)</w:t>
      </w:r>
    </w:p>
    <w:p w:rsidR="00DD1B0D" w:rsidRDefault="00DD1B0D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736B1A" w:rsidRDefault="00A206D6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  <w:r>
        <w:rPr>
          <w:noProof/>
        </w:rPr>
        <w:drawing>
          <wp:inline distT="0" distB="0" distL="0" distR="0" wp14:anchorId="4D21F9A2" wp14:editId="2B72A354">
            <wp:extent cx="5924550" cy="372090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1906" cy="37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B0D" w:rsidRPr="00043F17" w:rsidRDefault="00DD1B0D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ED4542" w:rsidRDefault="00ED4542" w:rsidP="00ED4542">
      <w:pPr>
        <w:ind w:left="-426" w:right="139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Fonte: elaborazione</w:t>
      </w:r>
      <w:r w:rsidRPr="00D9442D">
        <w:rPr>
          <w:rFonts w:ascii="Verdana" w:hAnsi="Verdana"/>
          <w:i/>
          <w:sz w:val="18"/>
          <w:szCs w:val="18"/>
        </w:rPr>
        <w:t xml:space="preserve"> Confturismo</w:t>
      </w:r>
      <w:r>
        <w:rPr>
          <w:rFonts w:ascii="Verdana" w:hAnsi="Verdana"/>
          <w:i/>
          <w:sz w:val="18"/>
          <w:szCs w:val="18"/>
        </w:rPr>
        <w:t xml:space="preserve"> su dati Istat e Banca d’Italia</w:t>
      </w:r>
    </w:p>
    <w:p w:rsidR="00043F17" w:rsidRPr="00043F17" w:rsidRDefault="00043F17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043F17" w:rsidRPr="00043F17" w:rsidRDefault="00043F17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DD1B0D" w:rsidRPr="00486015" w:rsidRDefault="00DD1B0D" w:rsidP="00DD1B0D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  <w:r w:rsidRPr="00486015">
        <w:rPr>
          <w:rFonts w:ascii="Verdana" w:eastAsia="Times New Roman" w:hAnsi="Verdana"/>
          <w:sz w:val="22"/>
          <w:szCs w:val="22"/>
        </w:rPr>
        <w:t xml:space="preserve">Il turismo internazionale in Italia è principalmente di origine europea. Nel 2016 sono arrivati </w:t>
      </w:r>
      <w:r w:rsidRPr="00486015">
        <w:rPr>
          <w:rFonts w:ascii="Verdana" w:eastAsia="Times New Roman" w:hAnsi="Verdana"/>
          <w:bCs/>
          <w:sz w:val="22"/>
          <w:szCs w:val="22"/>
        </w:rPr>
        <w:t xml:space="preserve">39 milioni </w:t>
      </w:r>
      <w:r w:rsidRPr="00486015">
        <w:rPr>
          <w:rFonts w:ascii="Verdana" w:eastAsia="Times New Roman" w:hAnsi="Verdana"/>
          <w:sz w:val="22"/>
          <w:szCs w:val="22"/>
        </w:rPr>
        <w:t xml:space="preserve">di turisti da Paesi europei e </w:t>
      </w:r>
      <w:r w:rsidRPr="00486015">
        <w:rPr>
          <w:rFonts w:ascii="Verdana" w:eastAsia="Times New Roman" w:hAnsi="Verdana"/>
          <w:bCs/>
          <w:sz w:val="22"/>
          <w:szCs w:val="22"/>
        </w:rPr>
        <w:t xml:space="preserve">16,5 milioni </w:t>
      </w:r>
      <w:r w:rsidRPr="00486015">
        <w:rPr>
          <w:rFonts w:ascii="Verdana" w:eastAsia="Times New Roman" w:hAnsi="Verdana"/>
          <w:sz w:val="22"/>
          <w:szCs w:val="22"/>
        </w:rPr>
        <w:t xml:space="preserve">da fuori Europa. Il turismo extra europeo rappresenta circa il 30% del turismo internazionale verso l’Italia con un trend di progressiva crescita (nel 2001 era il 26%). </w:t>
      </w:r>
      <w:r w:rsidRPr="00211290">
        <w:rPr>
          <w:rFonts w:ascii="Verdana" w:eastAsia="Times New Roman" w:hAnsi="Verdana"/>
          <w:sz w:val="22"/>
          <w:szCs w:val="22"/>
          <w:u w:val="single"/>
        </w:rPr>
        <w:t xml:space="preserve">Negli ultimi due anni abbiamo registrato </w:t>
      </w:r>
      <w:r w:rsidRPr="00211290">
        <w:rPr>
          <w:rFonts w:ascii="Verdana" w:eastAsia="Times New Roman" w:hAnsi="Verdana"/>
          <w:bCs/>
          <w:sz w:val="22"/>
          <w:szCs w:val="22"/>
          <w:u w:val="single"/>
        </w:rPr>
        <w:t>3,9 milioni</w:t>
      </w:r>
      <w:r w:rsidRPr="00211290">
        <w:rPr>
          <w:rFonts w:ascii="Verdana" w:eastAsia="Times New Roman" w:hAnsi="Verdana"/>
          <w:sz w:val="22"/>
          <w:szCs w:val="22"/>
          <w:u w:val="single"/>
        </w:rPr>
        <w:t xml:space="preserve"> di arrivi in più, per il 64% provenienti da paesi extra-europei</w:t>
      </w:r>
      <w:r w:rsidRPr="00486015">
        <w:rPr>
          <w:rFonts w:ascii="Verdana" w:eastAsia="Times New Roman" w:hAnsi="Verdana"/>
          <w:sz w:val="22"/>
          <w:szCs w:val="22"/>
        </w:rPr>
        <w:t>. Fuori dai confini europei cresce soprattutto il turismo cinese (+1,5 milioni nel biennio 2015-2016) mentre in Europa crescono significativamente i flussi da Germania (+533 mila nel biennio) e Francia (+472 mila).</w:t>
      </w:r>
    </w:p>
    <w:p w:rsidR="00DD1B0D" w:rsidRPr="00486015" w:rsidRDefault="00DD1B0D" w:rsidP="00DD1B0D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  <w:r w:rsidRPr="00486015">
        <w:rPr>
          <w:rFonts w:ascii="Verdana" w:eastAsia="Times New Roman" w:hAnsi="Verdana"/>
          <w:sz w:val="22"/>
          <w:szCs w:val="22"/>
        </w:rPr>
        <w:t xml:space="preserve">La quota di mercato dei primi 10 Paesi per arrivi in Italia (sette sono europei e tre extra-europei) sale nel 2016 al </w:t>
      </w:r>
      <w:r w:rsidRPr="00486015">
        <w:rPr>
          <w:rFonts w:ascii="Verdana" w:eastAsia="Times New Roman" w:hAnsi="Verdana"/>
          <w:bCs/>
          <w:sz w:val="22"/>
          <w:szCs w:val="22"/>
        </w:rPr>
        <w:t>67,1%</w:t>
      </w:r>
      <w:r w:rsidRPr="00486015">
        <w:rPr>
          <w:rFonts w:ascii="Verdana" w:eastAsia="Times New Roman" w:hAnsi="Verdana"/>
          <w:sz w:val="22"/>
          <w:szCs w:val="22"/>
        </w:rPr>
        <w:t xml:space="preserve"> dal </w:t>
      </w:r>
      <w:r w:rsidRPr="00486015">
        <w:rPr>
          <w:rFonts w:ascii="Verdana" w:eastAsia="Times New Roman" w:hAnsi="Verdana"/>
          <w:bCs/>
          <w:sz w:val="22"/>
          <w:szCs w:val="22"/>
        </w:rPr>
        <w:t>65,8%</w:t>
      </w:r>
      <w:r w:rsidRPr="00486015">
        <w:rPr>
          <w:rFonts w:ascii="Verdana" w:eastAsia="Times New Roman" w:hAnsi="Verdana"/>
          <w:sz w:val="22"/>
          <w:szCs w:val="22"/>
        </w:rPr>
        <w:t xml:space="preserve"> del 2015. La classifica nel corso dell’ultimo anno presenta un importante cambiamento. </w:t>
      </w:r>
      <w:r w:rsidRPr="00211290">
        <w:rPr>
          <w:rFonts w:ascii="Verdana" w:eastAsia="Times New Roman" w:hAnsi="Verdana"/>
          <w:sz w:val="22"/>
          <w:szCs w:val="22"/>
          <w:u w:val="single"/>
        </w:rPr>
        <w:t>Esce la Russia (gli arrivi da questo Paese si sono dimezzati nel corso degli ultimi tre anni) e rientra il Giappone</w:t>
      </w:r>
      <w:r w:rsidRPr="00486015">
        <w:rPr>
          <w:rFonts w:ascii="Verdana" w:eastAsia="Times New Roman" w:hAnsi="Verdana"/>
          <w:sz w:val="22"/>
          <w:szCs w:val="22"/>
        </w:rPr>
        <w:t>.</w:t>
      </w:r>
    </w:p>
    <w:p w:rsidR="00DD1B0D" w:rsidRPr="00486015" w:rsidRDefault="00DD1B0D" w:rsidP="00DD1B0D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  <w:r w:rsidRPr="00486015">
        <w:rPr>
          <w:rFonts w:ascii="Verdana" w:eastAsia="Times New Roman" w:hAnsi="Verdana"/>
          <w:sz w:val="22"/>
          <w:szCs w:val="22"/>
        </w:rPr>
        <w:t>Se osserviamo, invece, il lungo periodo ci sono altri importanti cambiamenti.</w:t>
      </w:r>
    </w:p>
    <w:p w:rsidR="00DD1B0D" w:rsidRPr="00486015" w:rsidRDefault="00DD1B0D" w:rsidP="00DD1B0D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  <w:r w:rsidRPr="00486015">
        <w:rPr>
          <w:rFonts w:ascii="Verdana" w:eastAsia="Times New Roman" w:hAnsi="Verdana"/>
          <w:sz w:val="22"/>
          <w:szCs w:val="22"/>
        </w:rPr>
        <w:lastRenderedPageBreak/>
        <w:t>Scalano posizioni Cina e Svizzera rispettivamente dal 10° posto del 2001 al 4° del 2016 e dal 7° al 6°. All’opposto scendono Regno Unito, Austria e Giappone che passa dal 6° posto del 2001 al  10° del 2016.</w:t>
      </w:r>
    </w:p>
    <w:p w:rsidR="00DD1B0D" w:rsidRPr="00486015" w:rsidRDefault="00DD1B0D" w:rsidP="00DD1B0D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  <w:r w:rsidRPr="00486015">
        <w:rPr>
          <w:rFonts w:ascii="Verdana" w:eastAsia="Times New Roman" w:hAnsi="Verdana"/>
          <w:sz w:val="22"/>
          <w:szCs w:val="22"/>
        </w:rPr>
        <w:t>Nelle prime tre posizioni si confermano Germania, Usa, Francia mentre il Regno Unito fa spazio alla Cina al quarto posto</w:t>
      </w:r>
      <w:r w:rsidR="00362759">
        <w:rPr>
          <w:rFonts w:ascii="Verdana" w:eastAsia="Times New Roman" w:hAnsi="Verdana"/>
          <w:sz w:val="22"/>
          <w:szCs w:val="22"/>
        </w:rPr>
        <w:t xml:space="preserve"> (</w:t>
      </w:r>
      <w:proofErr w:type="spellStart"/>
      <w:r w:rsidR="00362759">
        <w:rPr>
          <w:rFonts w:ascii="Verdana" w:eastAsia="Times New Roman" w:hAnsi="Verdana"/>
          <w:sz w:val="22"/>
          <w:szCs w:val="22"/>
        </w:rPr>
        <w:t>t</w:t>
      </w:r>
      <w:r w:rsidR="00C60D49" w:rsidRPr="00486015">
        <w:rPr>
          <w:rFonts w:ascii="Verdana" w:eastAsia="Times New Roman" w:hAnsi="Verdana"/>
          <w:sz w:val="22"/>
          <w:szCs w:val="22"/>
        </w:rPr>
        <w:t>ab</w:t>
      </w:r>
      <w:proofErr w:type="spellEnd"/>
      <w:r w:rsidR="00C60D49" w:rsidRPr="00486015">
        <w:rPr>
          <w:rFonts w:ascii="Verdana" w:eastAsia="Times New Roman" w:hAnsi="Verdana"/>
          <w:sz w:val="22"/>
          <w:szCs w:val="22"/>
        </w:rPr>
        <w:t>. 1)</w:t>
      </w:r>
      <w:r w:rsidRPr="00486015">
        <w:rPr>
          <w:rFonts w:ascii="Verdana" w:eastAsia="Times New Roman" w:hAnsi="Verdana"/>
          <w:sz w:val="22"/>
          <w:szCs w:val="22"/>
        </w:rPr>
        <w:t xml:space="preserve">. </w:t>
      </w:r>
    </w:p>
    <w:p w:rsidR="00043F17" w:rsidRPr="00486015" w:rsidRDefault="00043F17" w:rsidP="00043F17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206D6" w:rsidRPr="00A206D6" w:rsidRDefault="00A64524" w:rsidP="00A206D6">
      <w:pPr>
        <w:ind w:left="-426" w:right="139"/>
        <w:jc w:val="both"/>
        <w:rPr>
          <w:rFonts w:ascii="Verdana" w:hAnsi="Verdana"/>
          <w:sz w:val="21"/>
          <w:szCs w:val="21"/>
        </w:rPr>
      </w:pPr>
      <w:proofErr w:type="spellStart"/>
      <w:r>
        <w:rPr>
          <w:rFonts w:ascii="Verdana" w:eastAsia="Times New Roman" w:hAnsi="Verdana"/>
          <w:sz w:val="21"/>
          <w:szCs w:val="21"/>
        </w:rPr>
        <w:t>Tab</w:t>
      </w:r>
      <w:proofErr w:type="spellEnd"/>
      <w:r>
        <w:rPr>
          <w:rFonts w:ascii="Verdana" w:eastAsia="Times New Roman" w:hAnsi="Verdana"/>
          <w:sz w:val="21"/>
          <w:szCs w:val="21"/>
        </w:rPr>
        <w:t>. 1</w:t>
      </w:r>
      <w:r w:rsidR="00A206D6">
        <w:rPr>
          <w:rFonts w:ascii="Verdana" w:eastAsia="Times New Roman" w:hAnsi="Verdana"/>
          <w:sz w:val="21"/>
          <w:szCs w:val="21"/>
        </w:rPr>
        <w:t xml:space="preserve"> - </w:t>
      </w:r>
      <w:r w:rsidR="00A206D6" w:rsidRPr="00A206D6">
        <w:rPr>
          <w:rFonts w:ascii="Verdana" w:eastAsia="Times New Roman" w:hAnsi="Verdana"/>
          <w:b/>
          <w:bCs/>
          <w:sz w:val="21"/>
          <w:szCs w:val="21"/>
        </w:rPr>
        <w:t xml:space="preserve">Italia: i primi dieci mercati </w:t>
      </w:r>
      <w:proofErr w:type="spellStart"/>
      <w:r w:rsidR="00A206D6" w:rsidRPr="00A206D6">
        <w:rPr>
          <w:rFonts w:ascii="Verdana" w:eastAsia="Times New Roman" w:hAnsi="Verdana"/>
          <w:b/>
          <w:bCs/>
          <w:sz w:val="21"/>
          <w:szCs w:val="21"/>
        </w:rPr>
        <w:t>incoming</w:t>
      </w:r>
      <w:proofErr w:type="spellEnd"/>
      <w:r w:rsidR="00A206D6">
        <w:rPr>
          <w:rFonts w:ascii="Verdana" w:eastAsia="Times New Roman" w:hAnsi="Verdana"/>
          <w:b/>
          <w:bCs/>
          <w:sz w:val="21"/>
          <w:szCs w:val="21"/>
        </w:rPr>
        <w:t xml:space="preserve"> </w:t>
      </w:r>
      <w:r w:rsidR="00A206D6" w:rsidRPr="00A206D6">
        <w:rPr>
          <w:rFonts w:ascii="Verdana" w:eastAsia="Times New Roman" w:hAnsi="Verdana"/>
          <w:i/>
          <w:iCs/>
          <w:sz w:val="21"/>
          <w:szCs w:val="21"/>
        </w:rPr>
        <w:t>(arrivi – anno 2016)</w:t>
      </w:r>
    </w:p>
    <w:p w:rsidR="00DD1B0D" w:rsidRDefault="00DD1B0D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206D6" w:rsidRDefault="00A206D6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  <w:r>
        <w:rPr>
          <w:noProof/>
        </w:rPr>
        <w:drawing>
          <wp:inline distT="0" distB="0" distL="0" distR="0" wp14:anchorId="568C7139" wp14:editId="102C0826">
            <wp:extent cx="6119495" cy="4109733"/>
            <wp:effectExtent l="0" t="0" r="0" b="508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42" w:rsidRDefault="00ED4542" w:rsidP="00ED4542">
      <w:pPr>
        <w:ind w:left="-426" w:right="139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Fonte: elaborazione</w:t>
      </w:r>
      <w:r w:rsidRPr="00D9442D">
        <w:rPr>
          <w:rFonts w:ascii="Verdana" w:hAnsi="Verdana"/>
          <w:i/>
          <w:sz w:val="18"/>
          <w:szCs w:val="18"/>
        </w:rPr>
        <w:t xml:space="preserve"> Confturismo</w:t>
      </w:r>
      <w:r>
        <w:rPr>
          <w:rFonts w:ascii="Verdana" w:hAnsi="Verdana"/>
          <w:i/>
          <w:sz w:val="18"/>
          <w:szCs w:val="18"/>
        </w:rPr>
        <w:t xml:space="preserve"> su dati Istat</w:t>
      </w:r>
    </w:p>
    <w:p w:rsidR="00DD1B0D" w:rsidRDefault="00DD1B0D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DD1B0D" w:rsidRDefault="00DD1B0D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DD1B0D" w:rsidRPr="00043F17" w:rsidRDefault="00DD1B0D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043F17" w:rsidRPr="00486015" w:rsidRDefault="00043F17" w:rsidP="00043F17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  <w:r w:rsidRPr="00486015">
        <w:rPr>
          <w:rFonts w:ascii="Verdana" w:eastAsia="Times New Roman" w:hAnsi="Verdana"/>
          <w:sz w:val="22"/>
          <w:szCs w:val="22"/>
        </w:rPr>
        <w:t>L’andamento del movimento turistico per tipologia della destinazione mette in evidenza almeno tre aspetti:</w:t>
      </w:r>
    </w:p>
    <w:p w:rsidR="0062109F" w:rsidRPr="00486015" w:rsidRDefault="00A27404" w:rsidP="00043F17">
      <w:pPr>
        <w:numPr>
          <w:ilvl w:val="0"/>
          <w:numId w:val="23"/>
        </w:numPr>
        <w:tabs>
          <w:tab w:val="clear" w:pos="720"/>
          <w:tab w:val="num" w:pos="0"/>
        </w:tabs>
        <w:ind w:left="0" w:right="139" w:hanging="426"/>
        <w:jc w:val="both"/>
        <w:rPr>
          <w:rFonts w:ascii="Verdana" w:eastAsia="Times New Roman" w:hAnsi="Verdana"/>
          <w:sz w:val="22"/>
          <w:szCs w:val="22"/>
        </w:rPr>
      </w:pPr>
      <w:r w:rsidRPr="00486015">
        <w:rPr>
          <w:rFonts w:ascii="Verdana" w:eastAsia="Times New Roman" w:hAnsi="Verdana"/>
          <w:sz w:val="22"/>
          <w:szCs w:val="22"/>
        </w:rPr>
        <w:t>l’importanza delle città d’arte sia nei riguardi del turismo internazionale (</w:t>
      </w:r>
      <w:r w:rsidRPr="00486015">
        <w:rPr>
          <w:rFonts w:ascii="Verdana" w:eastAsia="Times New Roman" w:hAnsi="Verdana"/>
          <w:bCs/>
          <w:sz w:val="22"/>
          <w:szCs w:val="22"/>
        </w:rPr>
        <w:t>+31,5% di arrivi e + 22,1% di presenze nel periodo 2009-2015</w:t>
      </w:r>
      <w:r w:rsidRPr="00486015">
        <w:rPr>
          <w:rFonts w:ascii="Verdana" w:eastAsia="Times New Roman" w:hAnsi="Verdana"/>
          <w:sz w:val="22"/>
          <w:szCs w:val="22"/>
        </w:rPr>
        <w:t xml:space="preserve">) che di quello di origine interna per il quale, tra il 2009 ed il 2015, è la sola voce dell’offerta ad aver registrato un significativo incremento sia negli arrivi che nelle presenze, rispettivamente </w:t>
      </w:r>
      <w:r w:rsidRPr="00486015">
        <w:rPr>
          <w:rFonts w:ascii="Verdana" w:eastAsia="Times New Roman" w:hAnsi="Verdana"/>
          <w:bCs/>
          <w:sz w:val="22"/>
          <w:szCs w:val="22"/>
        </w:rPr>
        <w:t xml:space="preserve">+15,4% </w:t>
      </w:r>
      <w:r w:rsidRPr="00486015">
        <w:rPr>
          <w:rFonts w:ascii="Verdana" w:eastAsia="Times New Roman" w:hAnsi="Verdana"/>
          <w:sz w:val="22"/>
          <w:szCs w:val="22"/>
        </w:rPr>
        <w:t>e</w:t>
      </w:r>
      <w:r w:rsidRPr="00486015">
        <w:rPr>
          <w:rFonts w:ascii="Verdana" w:eastAsia="Times New Roman" w:hAnsi="Verdana"/>
          <w:bCs/>
          <w:sz w:val="22"/>
          <w:szCs w:val="22"/>
        </w:rPr>
        <w:t xml:space="preserve"> +16,6%</w:t>
      </w:r>
      <w:r w:rsidRPr="00486015">
        <w:rPr>
          <w:rFonts w:ascii="Verdana" w:eastAsia="Times New Roman" w:hAnsi="Verdana"/>
          <w:sz w:val="22"/>
          <w:szCs w:val="22"/>
        </w:rPr>
        <w:t>;</w:t>
      </w:r>
    </w:p>
    <w:p w:rsidR="0062109F" w:rsidRPr="00486015" w:rsidRDefault="00A27404" w:rsidP="00043F17">
      <w:pPr>
        <w:numPr>
          <w:ilvl w:val="0"/>
          <w:numId w:val="23"/>
        </w:numPr>
        <w:tabs>
          <w:tab w:val="clear" w:pos="720"/>
          <w:tab w:val="num" w:pos="0"/>
        </w:tabs>
        <w:ind w:left="0" w:right="139" w:hanging="426"/>
        <w:jc w:val="both"/>
        <w:rPr>
          <w:rFonts w:ascii="Verdana" w:eastAsia="Times New Roman" w:hAnsi="Verdana"/>
          <w:sz w:val="22"/>
          <w:szCs w:val="22"/>
        </w:rPr>
      </w:pPr>
      <w:r w:rsidRPr="00486015">
        <w:rPr>
          <w:rFonts w:ascii="Verdana" w:eastAsia="Times New Roman" w:hAnsi="Verdana"/>
          <w:sz w:val="22"/>
          <w:szCs w:val="22"/>
        </w:rPr>
        <w:t xml:space="preserve">tra le grandi città d’arte perde terreno Roma che, sempre nel periodo 2009-2015, con un milione di presenze in più fa segnare il più basso incremento assoluto persino </w:t>
      </w:r>
      <w:r w:rsidRPr="00486015">
        <w:rPr>
          <w:rFonts w:ascii="Verdana" w:eastAsia="Times New Roman" w:hAnsi="Verdana"/>
          <w:sz w:val="22"/>
          <w:szCs w:val="22"/>
        </w:rPr>
        <w:lastRenderedPageBreak/>
        <w:t xml:space="preserve">dietro </w:t>
      </w:r>
      <w:r w:rsidR="00C15370" w:rsidRPr="00486015">
        <w:rPr>
          <w:rFonts w:ascii="Verdana" w:eastAsia="Times New Roman" w:hAnsi="Verdana"/>
          <w:sz w:val="22"/>
          <w:szCs w:val="22"/>
        </w:rPr>
        <w:t>Napoli</w:t>
      </w:r>
      <w:r w:rsidR="00C15370">
        <w:rPr>
          <w:rFonts w:ascii="Verdana" w:eastAsia="Times New Roman" w:hAnsi="Verdana"/>
          <w:sz w:val="22"/>
          <w:szCs w:val="22"/>
        </w:rPr>
        <w:t xml:space="preserve"> (+1,2 milioni)</w:t>
      </w:r>
      <w:r w:rsidR="00C15370" w:rsidRPr="00486015">
        <w:rPr>
          <w:rFonts w:ascii="Verdana" w:eastAsia="Times New Roman" w:hAnsi="Verdana"/>
          <w:sz w:val="22"/>
          <w:szCs w:val="22"/>
        </w:rPr>
        <w:t xml:space="preserve"> e </w:t>
      </w:r>
      <w:r w:rsidRPr="00486015">
        <w:rPr>
          <w:rFonts w:ascii="Verdana" w:eastAsia="Times New Roman" w:hAnsi="Verdana"/>
          <w:sz w:val="22"/>
          <w:szCs w:val="22"/>
        </w:rPr>
        <w:t>Torino</w:t>
      </w:r>
      <w:r w:rsidR="00C15370">
        <w:rPr>
          <w:rFonts w:ascii="Verdana" w:eastAsia="Times New Roman" w:hAnsi="Verdana"/>
          <w:sz w:val="22"/>
          <w:szCs w:val="22"/>
        </w:rPr>
        <w:t xml:space="preserve"> (+1,1 milioni)</w:t>
      </w:r>
      <w:r w:rsidRPr="00486015">
        <w:rPr>
          <w:rFonts w:ascii="Verdana" w:eastAsia="Times New Roman" w:hAnsi="Verdana"/>
          <w:sz w:val="22"/>
          <w:szCs w:val="22"/>
        </w:rPr>
        <w:t xml:space="preserve"> per non parlare di Firenze (+2,5 milioni) e Venezia (+1,8 milioni);</w:t>
      </w:r>
    </w:p>
    <w:p w:rsidR="00DD1B0D" w:rsidRPr="00486015" w:rsidRDefault="00A27404" w:rsidP="00DD1B0D">
      <w:pPr>
        <w:numPr>
          <w:ilvl w:val="0"/>
          <w:numId w:val="23"/>
        </w:numPr>
        <w:tabs>
          <w:tab w:val="clear" w:pos="720"/>
          <w:tab w:val="num" w:pos="0"/>
        </w:tabs>
        <w:ind w:left="0" w:right="139" w:hanging="426"/>
        <w:jc w:val="both"/>
        <w:rPr>
          <w:rFonts w:ascii="Verdana" w:eastAsia="Times New Roman" w:hAnsi="Verdana"/>
          <w:sz w:val="22"/>
          <w:szCs w:val="22"/>
        </w:rPr>
      </w:pPr>
      <w:r w:rsidRPr="00486015">
        <w:rPr>
          <w:rFonts w:ascii="Verdana" w:eastAsia="Times New Roman" w:hAnsi="Verdana"/>
          <w:sz w:val="22"/>
          <w:szCs w:val="22"/>
        </w:rPr>
        <w:t>per il turismo internazionale si registra, nel medesimo periodo, una forte crescita degli arrivi in tutte quelle destinazioni che sono il cuore dell’Italia dei borghi fatta di paesaggio, cultura e qualità della vita</w:t>
      </w:r>
      <w:r w:rsidR="00C60D49" w:rsidRPr="00486015">
        <w:rPr>
          <w:rFonts w:ascii="Verdana" w:eastAsia="Times New Roman" w:hAnsi="Verdana"/>
          <w:sz w:val="22"/>
          <w:szCs w:val="22"/>
        </w:rPr>
        <w:t xml:space="preserve">: </w:t>
      </w:r>
      <w:r w:rsidR="00043F17" w:rsidRPr="00486015">
        <w:rPr>
          <w:rFonts w:ascii="Verdana" w:eastAsia="Times New Roman" w:hAnsi="Verdana"/>
          <w:sz w:val="22"/>
          <w:szCs w:val="22"/>
        </w:rPr>
        <w:t>località collinari</w:t>
      </w:r>
      <w:r w:rsidR="00A64524" w:rsidRPr="00486015">
        <w:rPr>
          <w:rFonts w:ascii="Verdana" w:eastAsia="Times New Roman" w:hAnsi="Verdana"/>
          <w:sz w:val="22"/>
          <w:szCs w:val="22"/>
        </w:rPr>
        <w:t xml:space="preserve"> </w:t>
      </w:r>
      <w:r w:rsidRPr="00486015">
        <w:rPr>
          <w:rFonts w:ascii="Verdana" w:eastAsia="Times New Roman" w:hAnsi="Verdana"/>
          <w:bCs/>
          <w:sz w:val="22"/>
          <w:szCs w:val="22"/>
        </w:rPr>
        <w:t>+42,4%</w:t>
      </w:r>
      <w:r w:rsidR="00043F17" w:rsidRPr="00486015">
        <w:rPr>
          <w:rFonts w:ascii="Verdana" w:eastAsia="Times New Roman" w:hAnsi="Verdana"/>
          <w:bCs/>
          <w:sz w:val="22"/>
          <w:szCs w:val="22"/>
        </w:rPr>
        <w:t xml:space="preserve">; </w:t>
      </w:r>
      <w:r w:rsidRPr="00486015">
        <w:rPr>
          <w:rFonts w:ascii="Verdana" w:eastAsia="Times New Roman" w:hAnsi="Verdana"/>
          <w:sz w:val="22"/>
          <w:szCs w:val="22"/>
        </w:rPr>
        <w:t xml:space="preserve">città </w:t>
      </w:r>
      <w:r w:rsidRPr="00211290">
        <w:rPr>
          <w:rFonts w:ascii="Verdana" w:eastAsia="Times New Roman" w:hAnsi="Verdana"/>
          <w:i/>
          <w:sz w:val="22"/>
          <w:szCs w:val="22"/>
        </w:rPr>
        <w:t>minori</w:t>
      </w:r>
      <w:r w:rsidRPr="00486015">
        <w:rPr>
          <w:rFonts w:ascii="Verdana" w:eastAsia="Times New Roman" w:hAnsi="Verdana"/>
          <w:sz w:val="22"/>
          <w:szCs w:val="22"/>
        </w:rPr>
        <w:t xml:space="preserve"> di interesse storico e artistico</w:t>
      </w:r>
      <w:r w:rsidR="00043F17" w:rsidRPr="00486015">
        <w:rPr>
          <w:rFonts w:ascii="Verdana" w:eastAsia="Times New Roman" w:hAnsi="Verdana"/>
          <w:sz w:val="22"/>
          <w:szCs w:val="22"/>
        </w:rPr>
        <w:t xml:space="preserve"> </w:t>
      </w:r>
      <w:r w:rsidRPr="00486015">
        <w:rPr>
          <w:rFonts w:ascii="Verdana" w:eastAsia="Times New Roman" w:hAnsi="Verdana"/>
          <w:bCs/>
          <w:sz w:val="22"/>
          <w:szCs w:val="22"/>
        </w:rPr>
        <w:t>+40,7%</w:t>
      </w:r>
      <w:r w:rsidR="00C60D49" w:rsidRPr="00486015">
        <w:rPr>
          <w:rFonts w:ascii="Verdana" w:eastAsia="Times New Roman" w:hAnsi="Verdana"/>
          <w:bCs/>
          <w:sz w:val="22"/>
          <w:szCs w:val="22"/>
        </w:rPr>
        <w:t xml:space="preserve"> (fig. 4</w:t>
      </w:r>
      <w:r w:rsidR="00043F17" w:rsidRPr="00486015">
        <w:rPr>
          <w:rFonts w:ascii="Verdana" w:eastAsia="Times New Roman" w:hAnsi="Verdana"/>
          <w:bCs/>
          <w:sz w:val="22"/>
          <w:szCs w:val="22"/>
        </w:rPr>
        <w:t>).</w:t>
      </w:r>
    </w:p>
    <w:p w:rsidR="00DD1B0D" w:rsidRDefault="00DD1B0D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DD1B0D" w:rsidRDefault="00DD1B0D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tbl>
      <w:tblPr>
        <w:tblW w:w="1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</w:tblGrid>
      <w:tr w:rsidR="00C15370" w:rsidRPr="00C15370" w:rsidTr="00C15370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370" w:rsidRPr="00C15370" w:rsidRDefault="00C15370" w:rsidP="00C15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15370" w:rsidRPr="00C15370" w:rsidTr="00C15370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370" w:rsidRPr="00C15370" w:rsidRDefault="00C15370" w:rsidP="00C15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64524" w:rsidRPr="00F405D2" w:rsidRDefault="00A64524" w:rsidP="00362759">
      <w:pPr>
        <w:ind w:left="426" w:right="139" w:hanging="852"/>
        <w:jc w:val="both"/>
        <w:rPr>
          <w:rFonts w:ascii="Verdana" w:eastAsia="Times New Roman" w:hAnsi="Verdana"/>
          <w:i/>
          <w:sz w:val="21"/>
          <w:szCs w:val="21"/>
        </w:rPr>
      </w:pPr>
      <w:r>
        <w:rPr>
          <w:rFonts w:ascii="Verdana" w:eastAsia="Times New Roman" w:hAnsi="Verdana"/>
          <w:sz w:val="21"/>
          <w:szCs w:val="21"/>
        </w:rPr>
        <w:t>Fig. 4</w:t>
      </w:r>
      <w:r w:rsidR="00362759">
        <w:rPr>
          <w:rFonts w:ascii="Verdana" w:eastAsia="Times New Roman" w:hAnsi="Verdana"/>
          <w:sz w:val="21"/>
          <w:szCs w:val="21"/>
        </w:rPr>
        <w:t xml:space="preserve"> </w:t>
      </w:r>
      <w:r w:rsidR="00A206D6">
        <w:rPr>
          <w:rFonts w:ascii="Verdana" w:eastAsia="Times New Roman" w:hAnsi="Verdana"/>
          <w:sz w:val="21"/>
          <w:szCs w:val="21"/>
        </w:rPr>
        <w:t xml:space="preserve">- </w:t>
      </w:r>
      <w:r w:rsidR="00A206D6" w:rsidRPr="00A206D6">
        <w:rPr>
          <w:rFonts w:ascii="Verdana" w:eastAsia="Times New Roman" w:hAnsi="Verdana"/>
          <w:b/>
          <w:sz w:val="21"/>
          <w:szCs w:val="21"/>
        </w:rPr>
        <w:t>Movimento turistico per tipologia della destinazione</w:t>
      </w:r>
      <w:r w:rsidR="00A206D6">
        <w:rPr>
          <w:rFonts w:ascii="Verdana" w:eastAsia="Times New Roman" w:hAnsi="Verdana"/>
          <w:sz w:val="21"/>
          <w:szCs w:val="21"/>
        </w:rPr>
        <w:t xml:space="preserve"> </w:t>
      </w:r>
      <w:r w:rsidR="00A206D6" w:rsidRPr="00F405D2">
        <w:rPr>
          <w:rFonts w:ascii="Verdana" w:eastAsia="Times New Roman" w:hAnsi="Verdana"/>
          <w:i/>
          <w:sz w:val="21"/>
          <w:szCs w:val="21"/>
        </w:rPr>
        <w:t>(variazione percentuale 2015/2009)</w:t>
      </w:r>
    </w:p>
    <w:p w:rsidR="00DD1B0D" w:rsidRDefault="00DD1B0D" w:rsidP="00043F17">
      <w:pPr>
        <w:ind w:left="-426" w:right="139"/>
        <w:jc w:val="both"/>
        <w:rPr>
          <w:rFonts w:ascii="Verdana" w:eastAsia="Times New Roman" w:hAnsi="Verdana"/>
          <w:noProof/>
          <w:sz w:val="21"/>
          <w:szCs w:val="21"/>
        </w:rPr>
      </w:pPr>
    </w:p>
    <w:p w:rsidR="00A206D6" w:rsidRDefault="00A206D6" w:rsidP="00043F17">
      <w:pPr>
        <w:ind w:left="-426" w:right="139"/>
        <w:jc w:val="both"/>
        <w:rPr>
          <w:rFonts w:ascii="Verdana" w:eastAsia="Times New Roman" w:hAnsi="Verdana"/>
          <w:noProof/>
          <w:sz w:val="21"/>
          <w:szCs w:val="21"/>
        </w:rPr>
      </w:pPr>
    </w:p>
    <w:p w:rsidR="00A206D6" w:rsidRDefault="00A206D6" w:rsidP="00043F17">
      <w:pPr>
        <w:ind w:left="-426" w:right="139"/>
        <w:jc w:val="both"/>
        <w:rPr>
          <w:rFonts w:ascii="Verdana" w:eastAsia="Times New Roman" w:hAnsi="Verdana"/>
          <w:noProof/>
          <w:sz w:val="21"/>
          <w:szCs w:val="21"/>
        </w:rPr>
      </w:pPr>
      <w:r>
        <w:rPr>
          <w:noProof/>
        </w:rPr>
        <w:drawing>
          <wp:inline distT="0" distB="0" distL="0" distR="0" wp14:anchorId="7A3D9D9A" wp14:editId="28D416B5">
            <wp:extent cx="6119495" cy="5431284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43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6D6" w:rsidRDefault="00A206D6" w:rsidP="00043F17">
      <w:pPr>
        <w:ind w:left="-426" w:right="139"/>
        <w:jc w:val="both"/>
        <w:rPr>
          <w:rFonts w:ascii="Verdana" w:eastAsia="Times New Roman" w:hAnsi="Verdana"/>
          <w:noProof/>
          <w:sz w:val="21"/>
          <w:szCs w:val="21"/>
        </w:rPr>
      </w:pPr>
    </w:p>
    <w:p w:rsidR="00ED4542" w:rsidRDefault="00ED4542" w:rsidP="00ED4542">
      <w:pPr>
        <w:ind w:left="-426" w:right="139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Fonte: elaborazione</w:t>
      </w:r>
      <w:r w:rsidRPr="00D9442D">
        <w:rPr>
          <w:rFonts w:ascii="Verdana" w:hAnsi="Verdana"/>
          <w:i/>
          <w:sz w:val="18"/>
          <w:szCs w:val="18"/>
        </w:rPr>
        <w:t xml:space="preserve"> Confturismo</w:t>
      </w:r>
      <w:r>
        <w:rPr>
          <w:rFonts w:ascii="Verdana" w:hAnsi="Verdana"/>
          <w:i/>
          <w:sz w:val="18"/>
          <w:szCs w:val="18"/>
        </w:rPr>
        <w:t xml:space="preserve"> su dati Istat</w:t>
      </w:r>
    </w:p>
    <w:p w:rsidR="00DD1B0D" w:rsidRDefault="00DD1B0D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DD1B0D" w:rsidRDefault="00DD1B0D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043F17" w:rsidRPr="00486015" w:rsidRDefault="00043F17" w:rsidP="00043F17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  <w:r w:rsidRPr="00486015">
        <w:rPr>
          <w:rFonts w:ascii="Verdana" w:eastAsia="Times New Roman" w:hAnsi="Verdana"/>
          <w:sz w:val="22"/>
          <w:szCs w:val="22"/>
        </w:rPr>
        <w:lastRenderedPageBreak/>
        <w:t>Arte e cultura si confermano tratti distintivi dell’offerta turistica italiana non solo per il contributo dato dalle grandi destinazioni (Roma, Firenze, Venezia ma anche Napoli, Torino e Milano, decisivo in questo caso l’effetto Expo), ma soprattutto per quello fornito dalle tante città di piccole e medie dimensioni in grado di coniugare i valori del patrimonio culturale a quelli ambientali e paesaggistici</w:t>
      </w:r>
      <w:r w:rsidR="00746F28" w:rsidRPr="00486015">
        <w:rPr>
          <w:rFonts w:ascii="Verdana" w:eastAsia="Times New Roman" w:hAnsi="Verdana"/>
          <w:sz w:val="22"/>
          <w:szCs w:val="22"/>
        </w:rPr>
        <w:t xml:space="preserve"> (</w:t>
      </w:r>
      <w:proofErr w:type="spellStart"/>
      <w:r w:rsidR="00746F28" w:rsidRPr="00486015">
        <w:rPr>
          <w:rFonts w:ascii="Verdana" w:eastAsia="Times New Roman" w:hAnsi="Verdana"/>
          <w:sz w:val="22"/>
          <w:szCs w:val="22"/>
        </w:rPr>
        <w:t>tab</w:t>
      </w:r>
      <w:proofErr w:type="spellEnd"/>
      <w:r w:rsidR="00746F28" w:rsidRPr="00486015">
        <w:rPr>
          <w:rFonts w:ascii="Verdana" w:eastAsia="Times New Roman" w:hAnsi="Verdana"/>
          <w:sz w:val="22"/>
          <w:szCs w:val="22"/>
        </w:rPr>
        <w:t>. 2)</w:t>
      </w:r>
      <w:r w:rsidRPr="00486015">
        <w:rPr>
          <w:rFonts w:ascii="Verdana" w:eastAsia="Times New Roman" w:hAnsi="Verdana"/>
          <w:sz w:val="22"/>
          <w:szCs w:val="22"/>
        </w:rPr>
        <w:t xml:space="preserve">. L’analisi del movimento turistico per </w:t>
      </w:r>
      <w:r w:rsidR="002D3507">
        <w:rPr>
          <w:rFonts w:ascii="Verdana" w:eastAsia="Times New Roman" w:hAnsi="Verdana"/>
          <w:sz w:val="22"/>
          <w:szCs w:val="22"/>
        </w:rPr>
        <w:t>aree</w:t>
      </w:r>
      <w:r w:rsidRPr="00486015">
        <w:rPr>
          <w:rFonts w:ascii="Verdana" w:eastAsia="Times New Roman" w:hAnsi="Verdana"/>
          <w:sz w:val="22"/>
          <w:szCs w:val="22"/>
        </w:rPr>
        <w:t xml:space="preserve"> mette in contrapposizione gli straordinari risultati di Padova, Bologna e Verona con quelli deludenti di Ravenna, Pisa e Pistoia. </w:t>
      </w:r>
    </w:p>
    <w:p w:rsidR="00043F17" w:rsidRPr="00486015" w:rsidRDefault="00043F17" w:rsidP="00043F17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  <w:r w:rsidRPr="00486015">
        <w:rPr>
          <w:rFonts w:ascii="Verdana" w:eastAsia="Times New Roman" w:hAnsi="Verdana"/>
          <w:sz w:val="22"/>
          <w:szCs w:val="22"/>
        </w:rPr>
        <w:t xml:space="preserve">E nelle destinazioni </w:t>
      </w:r>
      <w:r w:rsidRPr="00211290">
        <w:rPr>
          <w:rFonts w:ascii="Verdana" w:eastAsia="Times New Roman" w:hAnsi="Verdana"/>
          <w:i/>
          <w:sz w:val="22"/>
          <w:szCs w:val="22"/>
        </w:rPr>
        <w:t>minori</w:t>
      </w:r>
      <w:r w:rsidRPr="00486015">
        <w:rPr>
          <w:rFonts w:ascii="Verdana" w:eastAsia="Times New Roman" w:hAnsi="Verdana"/>
          <w:sz w:val="22"/>
          <w:szCs w:val="22"/>
        </w:rPr>
        <w:t xml:space="preserve"> risulta evidente il contrasto tra la crescita di Urbino, Pompei e Ravello ed il calo di Aquileia, Paestum e Piazza Armerina. E’ la dimostrazione che la presenza di grandi attrattori non è solo funzionale a sé stessa ma può generare ricadute positive anche sui territori circostanti.</w:t>
      </w:r>
    </w:p>
    <w:p w:rsidR="00043F17" w:rsidRPr="00486015" w:rsidRDefault="00043F17" w:rsidP="00043F17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  <w:r w:rsidRPr="00486015">
        <w:rPr>
          <w:rFonts w:ascii="Verdana" w:eastAsia="Times New Roman" w:hAnsi="Verdana"/>
          <w:sz w:val="22"/>
          <w:szCs w:val="22"/>
        </w:rPr>
        <w:t>Ed è anche l’evidenza che il visitatore non è alla ricerca di singole monadi turistiche ma di esperienze di vita che possono realizzarsi solo se le destinazioni sono in grado di integrare luoghi e servizi.</w:t>
      </w:r>
    </w:p>
    <w:p w:rsidR="00043F17" w:rsidRPr="00486015" w:rsidRDefault="00043F17" w:rsidP="00043F17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  <w:r w:rsidRPr="00486015">
        <w:rPr>
          <w:rFonts w:ascii="Verdana" w:eastAsia="Times New Roman" w:hAnsi="Verdana"/>
          <w:sz w:val="22"/>
          <w:szCs w:val="22"/>
        </w:rPr>
        <w:t xml:space="preserve">La stessa funzione di supporto logistico svolta dai territori confinanti nei riguardi dei flussi diretti verso le grandi destinazioni contiene in sé potenzialità di sviluppo turistico che </w:t>
      </w:r>
      <w:r w:rsidR="00211290">
        <w:rPr>
          <w:rFonts w:ascii="Verdana" w:eastAsia="Times New Roman" w:hAnsi="Verdana"/>
          <w:sz w:val="22"/>
          <w:szCs w:val="22"/>
        </w:rPr>
        <w:t xml:space="preserve">devono </w:t>
      </w:r>
      <w:r w:rsidRPr="00486015">
        <w:rPr>
          <w:rFonts w:ascii="Verdana" w:eastAsia="Times New Roman" w:hAnsi="Verdana"/>
          <w:sz w:val="22"/>
          <w:szCs w:val="22"/>
        </w:rPr>
        <w:t>essere colte.</w:t>
      </w:r>
    </w:p>
    <w:p w:rsidR="00A27404" w:rsidRDefault="00A2740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206D6" w:rsidRDefault="00A206D6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206D6" w:rsidRDefault="00A206D6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206D6" w:rsidRPr="00A206D6" w:rsidRDefault="00A64524" w:rsidP="001B3004">
      <w:pPr>
        <w:tabs>
          <w:tab w:val="left" w:pos="709"/>
        </w:tabs>
        <w:ind w:left="709" w:right="139" w:hanging="993"/>
        <w:jc w:val="both"/>
        <w:rPr>
          <w:rFonts w:ascii="Verdana" w:eastAsia="Times New Roman" w:hAnsi="Verdana"/>
          <w:sz w:val="21"/>
          <w:szCs w:val="21"/>
        </w:rPr>
      </w:pPr>
      <w:proofErr w:type="spellStart"/>
      <w:r>
        <w:rPr>
          <w:rFonts w:ascii="Verdana" w:eastAsia="Times New Roman" w:hAnsi="Verdana"/>
          <w:sz w:val="21"/>
          <w:szCs w:val="21"/>
        </w:rPr>
        <w:t>Tab</w:t>
      </w:r>
      <w:proofErr w:type="spellEnd"/>
      <w:r>
        <w:rPr>
          <w:rFonts w:ascii="Verdana" w:eastAsia="Times New Roman" w:hAnsi="Verdana"/>
          <w:sz w:val="21"/>
          <w:szCs w:val="21"/>
        </w:rPr>
        <w:t>. 2</w:t>
      </w:r>
      <w:r w:rsidR="001B3004">
        <w:rPr>
          <w:rFonts w:ascii="Verdana" w:eastAsia="Times New Roman" w:hAnsi="Verdana"/>
          <w:sz w:val="21"/>
          <w:szCs w:val="21"/>
        </w:rPr>
        <w:t xml:space="preserve"> -</w:t>
      </w:r>
      <w:r w:rsidR="00A206D6">
        <w:rPr>
          <w:rFonts w:ascii="Verdana" w:eastAsia="Times New Roman" w:hAnsi="Verdana"/>
          <w:sz w:val="21"/>
          <w:szCs w:val="21"/>
        </w:rPr>
        <w:t xml:space="preserve"> </w:t>
      </w:r>
      <w:r w:rsidR="00A206D6" w:rsidRPr="00A206D6">
        <w:rPr>
          <w:rFonts w:ascii="Verdana" w:eastAsia="Times New Roman" w:hAnsi="Verdana"/>
          <w:b/>
          <w:bCs/>
          <w:sz w:val="21"/>
          <w:szCs w:val="21"/>
        </w:rPr>
        <w:t xml:space="preserve">Le prime 10 </w:t>
      </w:r>
      <w:r w:rsidR="002D3507">
        <w:rPr>
          <w:rFonts w:ascii="Verdana" w:eastAsia="Times New Roman" w:hAnsi="Verdana"/>
          <w:b/>
          <w:bCs/>
          <w:sz w:val="21"/>
          <w:szCs w:val="21"/>
        </w:rPr>
        <w:t>aree</w:t>
      </w:r>
      <w:r w:rsidR="00A206D6" w:rsidRPr="00A206D6">
        <w:rPr>
          <w:rFonts w:ascii="Verdana" w:eastAsia="Times New Roman" w:hAnsi="Verdana"/>
          <w:b/>
          <w:bCs/>
          <w:sz w:val="21"/>
          <w:szCs w:val="21"/>
        </w:rPr>
        <w:t xml:space="preserve"> </w:t>
      </w:r>
      <w:r w:rsidR="00211290">
        <w:rPr>
          <w:rFonts w:ascii="Verdana" w:eastAsia="Times New Roman" w:hAnsi="Verdana"/>
          <w:b/>
          <w:bCs/>
          <w:sz w:val="21"/>
          <w:szCs w:val="21"/>
        </w:rPr>
        <w:t xml:space="preserve">per aumento delle presenze turistiche </w:t>
      </w:r>
      <w:r w:rsidR="00362759">
        <w:rPr>
          <w:rFonts w:ascii="Verdana" w:eastAsia="Times New Roman" w:hAnsi="Verdana"/>
          <w:b/>
          <w:bCs/>
          <w:sz w:val="21"/>
          <w:szCs w:val="21"/>
        </w:rPr>
        <w:t xml:space="preserve">tra il 2009 ed il </w:t>
      </w:r>
      <w:r w:rsidR="00AF6207">
        <w:rPr>
          <w:rFonts w:ascii="Verdana" w:eastAsia="Times New Roman" w:hAnsi="Verdana"/>
          <w:b/>
          <w:bCs/>
          <w:sz w:val="21"/>
          <w:szCs w:val="21"/>
        </w:rPr>
        <w:t>2015</w:t>
      </w:r>
    </w:p>
    <w:p w:rsidR="00A64524" w:rsidRDefault="00A64524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</w:p>
    <w:p w:rsidR="00A27404" w:rsidRDefault="00A27404" w:rsidP="00043F17">
      <w:pPr>
        <w:ind w:left="-426" w:right="139"/>
        <w:jc w:val="both"/>
        <w:rPr>
          <w:rFonts w:ascii="Verdana" w:eastAsia="Times New Roman" w:hAnsi="Verdana"/>
          <w:noProof/>
          <w:sz w:val="21"/>
          <w:szCs w:val="21"/>
        </w:rPr>
      </w:pPr>
    </w:p>
    <w:p w:rsidR="00A206D6" w:rsidRPr="00043F17" w:rsidRDefault="00A206D6" w:rsidP="00043F17">
      <w:pPr>
        <w:ind w:left="-426" w:right="139"/>
        <w:jc w:val="both"/>
        <w:rPr>
          <w:rFonts w:ascii="Verdana" w:eastAsia="Times New Roman" w:hAnsi="Verdana"/>
          <w:sz w:val="21"/>
          <w:szCs w:val="21"/>
        </w:rPr>
      </w:pPr>
      <w:r>
        <w:rPr>
          <w:noProof/>
        </w:rPr>
        <w:drawing>
          <wp:inline distT="0" distB="0" distL="0" distR="0" wp14:anchorId="45D5D8E6" wp14:editId="37EEC62C">
            <wp:extent cx="6119495" cy="3525521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2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F17" w:rsidRDefault="00043F17" w:rsidP="00043F17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</w:p>
    <w:p w:rsidR="00AF6207" w:rsidRPr="00AF6207" w:rsidRDefault="00AF6207" w:rsidP="00AF6207">
      <w:pPr>
        <w:pStyle w:val="NormaleWeb"/>
        <w:spacing w:before="0" w:after="0"/>
        <w:rPr>
          <w:rFonts w:ascii="Verdana" w:hAnsi="Verdana"/>
          <w:sz w:val="16"/>
          <w:szCs w:val="16"/>
        </w:rPr>
      </w:pPr>
      <w:r w:rsidRPr="00AF6207">
        <w:rPr>
          <w:rFonts w:ascii="Verdana" w:hAnsi="Verdana"/>
          <w:sz w:val="16"/>
          <w:szCs w:val="16"/>
        </w:rPr>
        <w:t xml:space="preserve">* Escluse: Milano, Firenze, Venezia, Napoli, Torino e Roma </w:t>
      </w:r>
    </w:p>
    <w:p w:rsidR="00362759" w:rsidRDefault="00362759" w:rsidP="00AF6207">
      <w:pPr>
        <w:ind w:right="139"/>
        <w:jc w:val="both"/>
        <w:rPr>
          <w:rFonts w:ascii="Verdana" w:hAnsi="Verdana"/>
          <w:i/>
          <w:sz w:val="18"/>
          <w:szCs w:val="18"/>
        </w:rPr>
      </w:pPr>
    </w:p>
    <w:p w:rsidR="00ED4542" w:rsidRDefault="00ED4542" w:rsidP="00AF6207">
      <w:pPr>
        <w:ind w:right="139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Fonte: elaborazione</w:t>
      </w:r>
      <w:r w:rsidRPr="00D9442D">
        <w:rPr>
          <w:rFonts w:ascii="Verdana" w:hAnsi="Verdana"/>
          <w:i/>
          <w:sz w:val="18"/>
          <w:szCs w:val="18"/>
        </w:rPr>
        <w:t xml:space="preserve"> Confturismo</w:t>
      </w:r>
      <w:r>
        <w:rPr>
          <w:rFonts w:ascii="Verdana" w:hAnsi="Verdana"/>
          <w:i/>
          <w:sz w:val="18"/>
          <w:szCs w:val="18"/>
        </w:rPr>
        <w:t xml:space="preserve"> su dati Istat</w:t>
      </w:r>
    </w:p>
    <w:p w:rsidR="00DD1B0D" w:rsidRDefault="00DD1B0D" w:rsidP="00043F17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</w:p>
    <w:p w:rsidR="00DD1B0D" w:rsidRDefault="00DD1B0D" w:rsidP="00043F17">
      <w:pPr>
        <w:ind w:left="-426" w:right="139"/>
        <w:jc w:val="both"/>
        <w:rPr>
          <w:rFonts w:ascii="Verdana" w:eastAsia="Times New Roman" w:hAnsi="Verdana"/>
          <w:sz w:val="22"/>
          <w:szCs w:val="22"/>
        </w:rPr>
      </w:pPr>
    </w:p>
    <w:sectPr w:rsidR="00DD1B0D" w:rsidSect="00001D3D">
      <w:footerReference w:type="even" r:id="rId18"/>
      <w:footerReference w:type="default" r:id="rId19"/>
      <w:pgSz w:w="11906" w:h="16838"/>
      <w:pgMar w:top="1134" w:right="851" w:bottom="709" w:left="1418" w:header="680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2C" w:rsidRDefault="00CC202C">
      <w:r>
        <w:separator/>
      </w:r>
    </w:p>
  </w:endnote>
  <w:endnote w:type="continuationSeparator" w:id="0">
    <w:p w:rsidR="00CC202C" w:rsidRDefault="00CC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94" w:rsidRDefault="002B5A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61D9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61D94" w:rsidRDefault="00D61D9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94" w:rsidRDefault="002B5A9B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 w:rsidR="00D61D94"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26492F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D61D94" w:rsidRDefault="00D61D9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2C" w:rsidRDefault="00CC202C">
      <w:r>
        <w:separator/>
      </w:r>
    </w:p>
  </w:footnote>
  <w:footnote w:type="continuationSeparator" w:id="0">
    <w:p w:rsidR="00CC202C" w:rsidRDefault="00CC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.05pt;height:67.95pt" o:bullet="t">
        <v:imagedata r:id="rId1" o:title="artF655"/>
      </v:shape>
    </w:pict>
  </w:numPicBullet>
  <w:abstractNum w:abstractNumId="0">
    <w:nsid w:val="FFFFFF89"/>
    <w:multiLevelType w:val="singleLevel"/>
    <w:tmpl w:val="8B3E58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73D62"/>
    <w:multiLevelType w:val="hybridMultilevel"/>
    <w:tmpl w:val="419695A0"/>
    <w:lvl w:ilvl="0" w:tplc="A9EAE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09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EE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8A8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C3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61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E38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D3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23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56D0A"/>
    <w:multiLevelType w:val="hybridMultilevel"/>
    <w:tmpl w:val="C7AA6D84"/>
    <w:lvl w:ilvl="0" w:tplc="C08C3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81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B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E6D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D2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6D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85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04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25E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AF1079"/>
    <w:multiLevelType w:val="hybridMultilevel"/>
    <w:tmpl w:val="43904078"/>
    <w:lvl w:ilvl="0" w:tplc="93EA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CCD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65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DC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E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0A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1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C0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C1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F7A0A"/>
    <w:multiLevelType w:val="hybridMultilevel"/>
    <w:tmpl w:val="54B2A824"/>
    <w:lvl w:ilvl="0" w:tplc="093EE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2E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09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A3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671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AD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CC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E5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9E6CAA"/>
    <w:multiLevelType w:val="hybridMultilevel"/>
    <w:tmpl w:val="17E4F4C2"/>
    <w:lvl w:ilvl="0" w:tplc="55667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81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6FB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CF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09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6A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EF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C1B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E2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C21B08"/>
    <w:multiLevelType w:val="hybridMultilevel"/>
    <w:tmpl w:val="6EFAE8E4"/>
    <w:lvl w:ilvl="0" w:tplc="05447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A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07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61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ED0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CE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84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E84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677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4E7268"/>
    <w:multiLevelType w:val="hybridMultilevel"/>
    <w:tmpl w:val="8318A270"/>
    <w:lvl w:ilvl="0" w:tplc="2834C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42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4F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C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28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E5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8B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F6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3192E"/>
    <w:multiLevelType w:val="hybridMultilevel"/>
    <w:tmpl w:val="4496C0E2"/>
    <w:lvl w:ilvl="0" w:tplc="39003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6E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EA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41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87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89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8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0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4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4921BB"/>
    <w:multiLevelType w:val="hybridMultilevel"/>
    <w:tmpl w:val="54BE64A8"/>
    <w:lvl w:ilvl="0" w:tplc="0344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E2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2C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69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23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A2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E5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03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4F0ABF"/>
    <w:multiLevelType w:val="hybridMultilevel"/>
    <w:tmpl w:val="F54AD76A"/>
    <w:lvl w:ilvl="0" w:tplc="9EF80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9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E8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4A8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86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67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8E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2B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C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3ED4B2C"/>
    <w:multiLevelType w:val="hybridMultilevel"/>
    <w:tmpl w:val="5D46DA92"/>
    <w:lvl w:ilvl="0" w:tplc="983CA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AC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A80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69B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85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C43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4E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67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6FA4B96"/>
    <w:multiLevelType w:val="hybridMultilevel"/>
    <w:tmpl w:val="F70C435C"/>
    <w:lvl w:ilvl="0" w:tplc="A4A6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F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04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5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0F8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CD7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2C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7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8E8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7CA0576"/>
    <w:multiLevelType w:val="hybridMultilevel"/>
    <w:tmpl w:val="4A1433E8"/>
    <w:lvl w:ilvl="0" w:tplc="C7B88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2B2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A8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65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8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85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83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A1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1A7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B5C4B"/>
    <w:multiLevelType w:val="hybridMultilevel"/>
    <w:tmpl w:val="E5082042"/>
    <w:lvl w:ilvl="0" w:tplc="F2F06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6D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A9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25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80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4B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96D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23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83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353CC"/>
    <w:multiLevelType w:val="hybridMultilevel"/>
    <w:tmpl w:val="0E80C912"/>
    <w:lvl w:ilvl="0" w:tplc="64EC1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A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EC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6F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A0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E1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EB4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5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CB1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A132A59"/>
    <w:multiLevelType w:val="hybridMultilevel"/>
    <w:tmpl w:val="A366EDAA"/>
    <w:lvl w:ilvl="0" w:tplc="52247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28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E6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1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6A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6D5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8C9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65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3351C0"/>
    <w:multiLevelType w:val="hybridMultilevel"/>
    <w:tmpl w:val="D828FF7A"/>
    <w:lvl w:ilvl="0" w:tplc="72B4B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C2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AE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C7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48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B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37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EC7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48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22E1C42"/>
    <w:multiLevelType w:val="hybridMultilevel"/>
    <w:tmpl w:val="9F087B06"/>
    <w:lvl w:ilvl="0" w:tplc="09A8D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BF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20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8E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07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2B8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07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A0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85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1"/>
  </w:num>
  <w:num w:numId="5">
    <w:abstractNumId w:val="6"/>
  </w:num>
  <w:num w:numId="6">
    <w:abstractNumId w:val="9"/>
  </w:num>
  <w:num w:numId="7">
    <w:abstractNumId w:val="15"/>
  </w:num>
  <w:num w:numId="8">
    <w:abstractNumId w:val="7"/>
  </w:num>
  <w:num w:numId="9">
    <w:abstractNumId w:val="16"/>
  </w:num>
  <w:num w:numId="10">
    <w:abstractNumId w:val="19"/>
  </w:num>
  <w:num w:numId="11">
    <w:abstractNumId w:val="0"/>
  </w:num>
  <w:num w:numId="12">
    <w:abstractNumId w:val="14"/>
  </w:num>
  <w:num w:numId="13">
    <w:abstractNumId w:val="23"/>
  </w:num>
  <w:num w:numId="14">
    <w:abstractNumId w:val="1"/>
  </w:num>
  <w:num w:numId="15">
    <w:abstractNumId w:val="8"/>
  </w:num>
  <w:num w:numId="16">
    <w:abstractNumId w:val="3"/>
  </w:num>
  <w:num w:numId="17">
    <w:abstractNumId w:val="22"/>
  </w:num>
  <w:num w:numId="18">
    <w:abstractNumId w:val="20"/>
  </w:num>
  <w:num w:numId="19">
    <w:abstractNumId w:val="13"/>
  </w:num>
  <w:num w:numId="20">
    <w:abstractNumId w:val="4"/>
  </w:num>
  <w:num w:numId="21">
    <w:abstractNumId w:val="10"/>
  </w:num>
  <w:num w:numId="22">
    <w:abstractNumId w:val="12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2"/>
    <w:rsid w:val="00001D3D"/>
    <w:rsid w:val="00010FFE"/>
    <w:rsid w:val="00011552"/>
    <w:rsid w:val="0001739D"/>
    <w:rsid w:val="00021EB6"/>
    <w:rsid w:val="00025A3D"/>
    <w:rsid w:val="00031610"/>
    <w:rsid w:val="000332D0"/>
    <w:rsid w:val="000353A3"/>
    <w:rsid w:val="0003646C"/>
    <w:rsid w:val="0003678F"/>
    <w:rsid w:val="000368F8"/>
    <w:rsid w:val="00040445"/>
    <w:rsid w:val="00042226"/>
    <w:rsid w:val="00043F17"/>
    <w:rsid w:val="00047236"/>
    <w:rsid w:val="00047696"/>
    <w:rsid w:val="0005055B"/>
    <w:rsid w:val="0005271C"/>
    <w:rsid w:val="00052C47"/>
    <w:rsid w:val="00057EA4"/>
    <w:rsid w:val="00063570"/>
    <w:rsid w:val="00065B9E"/>
    <w:rsid w:val="00066528"/>
    <w:rsid w:val="00066658"/>
    <w:rsid w:val="0006712C"/>
    <w:rsid w:val="000800D6"/>
    <w:rsid w:val="00080F3F"/>
    <w:rsid w:val="00095118"/>
    <w:rsid w:val="000956C6"/>
    <w:rsid w:val="000A291C"/>
    <w:rsid w:val="000A4559"/>
    <w:rsid w:val="000A5DB2"/>
    <w:rsid w:val="000A5E2E"/>
    <w:rsid w:val="000B2A8E"/>
    <w:rsid w:val="000B77B4"/>
    <w:rsid w:val="000C4760"/>
    <w:rsid w:val="000D02C3"/>
    <w:rsid w:val="000D04AB"/>
    <w:rsid w:val="000D0F58"/>
    <w:rsid w:val="000E245E"/>
    <w:rsid w:val="000E5389"/>
    <w:rsid w:val="000E57D8"/>
    <w:rsid w:val="000E6E7A"/>
    <w:rsid w:val="000F0623"/>
    <w:rsid w:val="000F19AE"/>
    <w:rsid w:val="00103195"/>
    <w:rsid w:val="00103C03"/>
    <w:rsid w:val="00107BBB"/>
    <w:rsid w:val="001225F9"/>
    <w:rsid w:val="00124E9D"/>
    <w:rsid w:val="001257A5"/>
    <w:rsid w:val="001268BC"/>
    <w:rsid w:val="00131148"/>
    <w:rsid w:val="00131A9B"/>
    <w:rsid w:val="00131CFB"/>
    <w:rsid w:val="00143F99"/>
    <w:rsid w:val="00144C6A"/>
    <w:rsid w:val="001527C1"/>
    <w:rsid w:val="00155F83"/>
    <w:rsid w:val="00162C05"/>
    <w:rsid w:val="00166854"/>
    <w:rsid w:val="001714F1"/>
    <w:rsid w:val="00175025"/>
    <w:rsid w:val="0017731A"/>
    <w:rsid w:val="00181B14"/>
    <w:rsid w:val="001822A0"/>
    <w:rsid w:val="001839A8"/>
    <w:rsid w:val="00186AA5"/>
    <w:rsid w:val="0019543F"/>
    <w:rsid w:val="001A1E0C"/>
    <w:rsid w:val="001A59D0"/>
    <w:rsid w:val="001B1D2C"/>
    <w:rsid w:val="001B3004"/>
    <w:rsid w:val="001B31C3"/>
    <w:rsid w:val="001C0A6C"/>
    <w:rsid w:val="001D3F9C"/>
    <w:rsid w:val="001D79DE"/>
    <w:rsid w:val="001D7BDA"/>
    <w:rsid w:val="001E0E3A"/>
    <w:rsid w:val="001E3387"/>
    <w:rsid w:val="001F1EFA"/>
    <w:rsid w:val="001F2827"/>
    <w:rsid w:val="001F2B32"/>
    <w:rsid w:val="00201C4D"/>
    <w:rsid w:val="002039E6"/>
    <w:rsid w:val="002100B3"/>
    <w:rsid w:val="00211290"/>
    <w:rsid w:val="002124B6"/>
    <w:rsid w:val="00215464"/>
    <w:rsid w:val="0021674E"/>
    <w:rsid w:val="002228E7"/>
    <w:rsid w:val="00223875"/>
    <w:rsid w:val="00235291"/>
    <w:rsid w:val="00235DB7"/>
    <w:rsid w:val="00235E06"/>
    <w:rsid w:val="00236EAD"/>
    <w:rsid w:val="00243053"/>
    <w:rsid w:val="00243507"/>
    <w:rsid w:val="0024422E"/>
    <w:rsid w:val="0024444E"/>
    <w:rsid w:val="002516FF"/>
    <w:rsid w:val="002628FE"/>
    <w:rsid w:val="0026492F"/>
    <w:rsid w:val="00270F48"/>
    <w:rsid w:val="00271373"/>
    <w:rsid w:val="00277245"/>
    <w:rsid w:val="00283E01"/>
    <w:rsid w:val="00283E77"/>
    <w:rsid w:val="00284A63"/>
    <w:rsid w:val="0029287F"/>
    <w:rsid w:val="002A13B3"/>
    <w:rsid w:val="002A31A8"/>
    <w:rsid w:val="002A4F38"/>
    <w:rsid w:val="002A50A9"/>
    <w:rsid w:val="002A5F21"/>
    <w:rsid w:val="002B003F"/>
    <w:rsid w:val="002B1A00"/>
    <w:rsid w:val="002B389A"/>
    <w:rsid w:val="002B5A9B"/>
    <w:rsid w:val="002B7271"/>
    <w:rsid w:val="002C17F4"/>
    <w:rsid w:val="002C3484"/>
    <w:rsid w:val="002D1E3D"/>
    <w:rsid w:val="002D3507"/>
    <w:rsid w:val="002D3F5D"/>
    <w:rsid w:val="002E6349"/>
    <w:rsid w:val="002E6C6A"/>
    <w:rsid w:val="002F13F0"/>
    <w:rsid w:val="002F3FA0"/>
    <w:rsid w:val="002F5126"/>
    <w:rsid w:val="002F589D"/>
    <w:rsid w:val="002F7B56"/>
    <w:rsid w:val="00304580"/>
    <w:rsid w:val="00304A96"/>
    <w:rsid w:val="0032073A"/>
    <w:rsid w:val="003268FC"/>
    <w:rsid w:val="0033097E"/>
    <w:rsid w:val="00331CD9"/>
    <w:rsid w:val="003351DC"/>
    <w:rsid w:val="003354CF"/>
    <w:rsid w:val="00352882"/>
    <w:rsid w:val="00357680"/>
    <w:rsid w:val="003605EE"/>
    <w:rsid w:val="003613E8"/>
    <w:rsid w:val="003623C9"/>
    <w:rsid w:val="00362759"/>
    <w:rsid w:val="0036371F"/>
    <w:rsid w:val="003656CC"/>
    <w:rsid w:val="00367D60"/>
    <w:rsid w:val="00380141"/>
    <w:rsid w:val="00380F43"/>
    <w:rsid w:val="00387029"/>
    <w:rsid w:val="00392C4F"/>
    <w:rsid w:val="00393302"/>
    <w:rsid w:val="0039502F"/>
    <w:rsid w:val="0039558C"/>
    <w:rsid w:val="003A56DE"/>
    <w:rsid w:val="003A62ED"/>
    <w:rsid w:val="003B3296"/>
    <w:rsid w:val="003C07DB"/>
    <w:rsid w:val="003C31D0"/>
    <w:rsid w:val="003C4723"/>
    <w:rsid w:val="003C48DA"/>
    <w:rsid w:val="003E26EC"/>
    <w:rsid w:val="003E345D"/>
    <w:rsid w:val="003E34B3"/>
    <w:rsid w:val="003E67B7"/>
    <w:rsid w:val="0040414A"/>
    <w:rsid w:val="00404399"/>
    <w:rsid w:val="004117F7"/>
    <w:rsid w:val="00412F6B"/>
    <w:rsid w:val="00420B12"/>
    <w:rsid w:val="0043335F"/>
    <w:rsid w:val="00433730"/>
    <w:rsid w:val="0043530D"/>
    <w:rsid w:val="004524C1"/>
    <w:rsid w:val="00453E1F"/>
    <w:rsid w:val="00456063"/>
    <w:rsid w:val="004603B4"/>
    <w:rsid w:val="004656B9"/>
    <w:rsid w:val="004671C2"/>
    <w:rsid w:val="0046724C"/>
    <w:rsid w:val="00467B36"/>
    <w:rsid w:val="00470D37"/>
    <w:rsid w:val="00476E1E"/>
    <w:rsid w:val="0048330E"/>
    <w:rsid w:val="00484AA2"/>
    <w:rsid w:val="00486015"/>
    <w:rsid w:val="00491502"/>
    <w:rsid w:val="00492A99"/>
    <w:rsid w:val="00495979"/>
    <w:rsid w:val="004A1BC5"/>
    <w:rsid w:val="004A3867"/>
    <w:rsid w:val="004A4D93"/>
    <w:rsid w:val="004A784E"/>
    <w:rsid w:val="004B435E"/>
    <w:rsid w:val="004B46AF"/>
    <w:rsid w:val="004C0F74"/>
    <w:rsid w:val="004D2B46"/>
    <w:rsid w:val="004F0E39"/>
    <w:rsid w:val="004F1D4B"/>
    <w:rsid w:val="004F2B40"/>
    <w:rsid w:val="004F362D"/>
    <w:rsid w:val="004F3989"/>
    <w:rsid w:val="004F62BC"/>
    <w:rsid w:val="005116AB"/>
    <w:rsid w:val="005169E2"/>
    <w:rsid w:val="00524F5D"/>
    <w:rsid w:val="0052717E"/>
    <w:rsid w:val="00531D06"/>
    <w:rsid w:val="00532E22"/>
    <w:rsid w:val="00533BC2"/>
    <w:rsid w:val="00535F3E"/>
    <w:rsid w:val="00536D48"/>
    <w:rsid w:val="005411DA"/>
    <w:rsid w:val="005462BC"/>
    <w:rsid w:val="00553603"/>
    <w:rsid w:val="00554661"/>
    <w:rsid w:val="005547B1"/>
    <w:rsid w:val="00560DEB"/>
    <w:rsid w:val="00561688"/>
    <w:rsid w:val="00561811"/>
    <w:rsid w:val="00561DEC"/>
    <w:rsid w:val="00564791"/>
    <w:rsid w:val="00564CDA"/>
    <w:rsid w:val="00570E7D"/>
    <w:rsid w:val="00571D52"/>
    <w:rsid w:val="00586976"/>
    <w:rsid w:val="00586D3A"/>
    <w:rsid w:val="00586D4A"/>
    <w:rsid w:val="0059125E"/>
    <w:rsid w:val="00594F6E"/>
    <w:rsid w:val="005A00F6"/>
    <w:rsid w:val="005A03A3"/>
    <w:rsid w:val="005A09E9"/>
    <w:rsid w:val="005A69F5"/>
    <w:rsid w:val="005B10E9"/>
    <w:rsid w:val="005B6F97"/>
    <w:rsid w:val="005B7B8F"/>
    <w:rsid w:val="005C0F4D"/>
    <w:rsid w:val="005C3457"/>
    <w:rsid w:val="005C3D45"/>
    <w:rsid w:val="005C5CC8"/>
    <w:rsid w:val="005D2419"/>
    <w:rsid w:val="005D69F7"/>
    <w:rsid w:val="005E0589"/>
    <w:rsid w:val="005E7AFA"/>
    <w:rsid w:val="005F0813"/>
    <w:rsid w:val="005F1D88"/>
    <w:rsid w:val="005F71E9"/>
    <w:rsid w:val="006029CF"/>
    <w:rsid w:val="00602BEB"/>
    <w:rsid w:val="00604403"/>
    <w:rsid w:val="00605BC9"/>
    <w:rsid w:val="00607911"/>
    <w:rsid w:val="00612789"/>
    <w:rsid w:val="00612A6E"/>
    <w:rsid w:val="00613D15"/>
    <w:rsid w:val="00615922"/>
    <w:rsid w:val="006174C8"/>
    <w:rsid w:val="0062109F"/>
    <w:rsid w:val="00631124"/>
    <w:rsid w:val="006368B9"/>
    <w:rsid w:val="00640BD5"/>
    <w:rsid w:val="006419A7"/>
    <w:rsid w:val="00641E6A"/>
    <w:rsid w:val="0064389D"/>
    <w:rsid w:val="00647F12"/>
    <w:rsid w:val="00654118"/>
    <w:rsid w:val="006608B2"/>
    <w:rsid w:val="00663453"/>
    <w:rsid w:val="00666CA5"/>
    <w:rsid w:val="00670676"/>
    <w:rsid w:val="0068169C"/>
    <w:rsid w:val="00681764"/>
    <w:rsid w:val="00682808"/>
    <w:rsid w:val="00683685"/>
    <w:rsid w:val="006903EE"/>
    <w:rsid w:val="00693CD9"/>
    <w:rsid w:val="00696A62"/>
    <w:rsid w:val="006B5D0A"/>
    <w:rsid w:val="006B6028"/>
    <w:rsid w:val="006C44E1"/>
    <w:rsid w:val="006C48C1"/>
    <w:rsid w:val="006C72F1"/>
    <w:rsid w:val="006C741A"/>
    <w:rsid w:val="006D16FF"/>
    <w:rsid w:val="006D54D9"/>
    <w:rsid w:val="006E1FD5"/>
    <w:rsid w:val="006E6C17"/>
    <w:rsid w:val="006F03B8"/>
    <w:rsid w:val="006F4F87"/>
    <w:rsid w:val="006F6BE3"/>
    <w:rsid w:val="00700443"/>
    <w:rsid w:val="00704828"/>
    <w:rsid w:val="00706DB5"/>
    <w:rsid w:val="007074BA"/>
    <w:rsid w:val="00710306"/>
    <w:rsid w:val="007205ED"/>
    <w:rsid w:val="0072685B"/>
    <w:rsid w:val="00727265"/>
    <w:rsid w:val="00727290"/>
    <w:rsid w:val="00736B1A"/>
    <w:rsid w:val="007435A4"/>
    <w:rsid w:val="00744EB0"/>
    <w:rsid w:val="00746F28"/>
    <w:rsid w:val="007703B1"/>
    <w:rsid w:val="007745C6"/>
    <w:rsid w:val="00775278"/>
    <w:rsid w:val="007806DC"/>
    <w:rsid w:val="00780FF6"/>
    <w:rsid w:val="0078213C"/>
    <w:rsid w:val="00786C6F"/>
    <w:rsid w:val="00786DB0"/>
    <w:rsid w:val="007A43D0"/>
    <w:rsid w:val="007B1AF4"/>
    <w:rsid w:val="007C19FE"/>
    <w:rsid w:val="007C30C9"/>
    <w:rsid w:val="007C3137"/>
    <w:rsid w:val="007C3A42"/>
    <w:rsid w:val="007C56A3"/>
    <w:rsid w:val="007C66DA"/>
    <w:rsid w:val="007C6775"/>
    <w:rsid w:val="007C6D68"/>
    <w:rsid w:val="007C6E4C"/>
    <w:rsid w:val="007C77E6"/>
    <w:rsid w:val="007E3AA6"/>
    <w:rsid w:val="007E46C7"/>
    <w:rsid w:val="007F1BA6"/>
    <w:rsid w:val="007F3CF0"/>
    <w:rsid w:val="007F662F"/>
    <w:rsid w:val="007F789F"/>
    <w:rsid w:val="007F7D51"/>
    <w:rsid w:val="00803082"/>
    <w:rsid w:val="00806370"/>
    <w:rsid w:val="0081360E"/>
    <w:rsid w:val="008138D5"/>
    <w:rsid w:val="008159AB"/>
    <w:rsid w:val="00832E07"/>
    <w:rsid w:val="008344BE"/>
    <w:rsid w:val="00844382"/>
    <w:rsid w:val="00844D3B"/>
    <w:rsid w:val="00845C22"/>
    <w:rsid w:val="00854C22"/>
    <w:rsid w:val="00855007"/>
    <w:rsid w:val="008569BE"/>
    <w:rsid w:val="0086087C"/>
    <w:rsid w:val="00864BAD"/>
    <w:rsid w:val="00865402"/>
    <w:rsid w:val="00867A5A"/>
    <w:rsid w:val="008720C9"/>
    <w:rsid w:val="00876899"/>
    <w:rsid w:val="00876A9E"/>
    <w:rsid w:val="008841A3"/>
    <w:rsid w:val="00884E7B"/>
    <w:rsid w:val="00893E02"/>
    <w:rsid w:val="008943ED"/>
    <w:rsid w:val="008B076D"/>
    <w:rsid w:val="008B0E0F"/>
    <w:rsid w:val="008B13B6"/>
    <w:rsid w:val="008B41D8"/>
    <w:rsid w:val="008B5ADB"/>
    <w:rsid w:val="008D2F49"/>
    <w:rsid w:val="008D3064"/>
    <w:rsid w:val="008D599B"/>
    <w:rsid w:val="008E07EA"/>
    <w:rsid w:val="008E1CBC"/>
    <w:rsid w:val="008E2C3B"/>
    <w:rsid w:val="008E2F1F"/>
    <w:rsid w:val="008E4C74"/>
    <w:rsid w:val="008E6EBC"/>
    <w:rsid w:val="008F02F3"/>
    <w:rsid w:val="008F1BCA"/>
    <w:rsid w:val="008F71C7"/>
    <w:rsid w:val="00904BC9"/>
    <w:rsid w:val="00904ED6"/>
    <w:rsid w:val="009066FA"/>
    <w:rsid w:val="00907798"/>
    <w:rsid w:val="00907A8C"/>
    <w:rsid w:val="009102E8"/>
    <w:rsid w:val="0091205F"/>
    <w:rsid w:val="00913878"/>
    <w:rsid w:val="00917E54"/>
    <w:rsid w:val="00921D2B"/>
    <w:rsid w:val="0092269F"/>
    <w:rsid w:val="009243D3"/>
    <w:rsid w:val="00924CE0"/>
    <w:rsid w:val="0093156F"/>
    <w:rsid w:val="009440A7"/>
    <w:rsid w:val="00944612"/>
    <w:rsid w:val="00944D8F"/>
    <w:rsid w:val="00945333"/>
    <w:rsid w:val="00946EA5"/>
    <w:rsid w:val="00953353"/>
    <w:rsid w:val="009642F9"/>
    <w:rsid w:val="00964F55"/>
    <w:rsid w:val="00970C1A"/>
    <w:rsid w:val="00973EC3"/>
    <w:rsid w:val="00974030"/>
    <w:rsid w:val="00977955"/>
    <w:rsid w:val="00980133"/>
    <w:rsid w:val="00985676"/>
    <w:rsid w:val="00990800"/>
    <w:rsid w:val="00992E51"/>
    <w:rsid w:val="009A2103"/>
    <w:rsid w:val="009A7491"/>
    <w:rsid w:val="009B7256"/>
    <w:rsid w:val="009B7BFD"/>
    <w:rsid w:val="009C3DF7"/>
    <w:rsid w:val="009C7957"/>
    <w:rsid w:val="009D6C3B"/>
    <w:rsid w:val="009E086F"/>
    <w:rsid w:val="009E2CF8"/>
    <w:rsid w:val="009E365C"/>
    <w:rsid w:val="009E407F"/>
    <w:rsid w:val="009F4530"/>
    <w:rsid w:val="009F481F"/>
    <w:rsid w:val="009F55EF"/>
    <w:rsid w:val="009F5E07"/>
    <w:rsid w:val="009F6D7B"/>
    <w:rsid w:val="00A02501"/>
    <w:rsid w:val="00A07990"/>
    <w:rsid w:val="00A206D6"/>
    <w:rsid w:val="00A2071F"/>
    <w:rsid w:val="00A24D82"/>
    <w:rsid w:val="00A24F94"/>
    <w:rsid w:val="00A27404"/>
    <w:rsid w:val="00A373E6"/>
    <w:rsid w:val="00A37E83"/>
    <w:rsid w:val="00A43A78"/>
    <w:rsid w:val="00A4409B"/>
    <w:rsid w:val="00A509A6"/>
    <w:rsid w:val="00A51F7A"/>
    <w:rsid w:val="00A539F7"/>
    <w:rsid w:val="00A53DCA"/>
    <w:rsid w:val="00A54EF3"/>
    <w:rsid w:val="00A550E0"/>
    <w:rsid w:val="00A616AE"/>
    <w:rsid w:val="00A64524"/>
    <w:rsid w:val="00A652DC"/>
    <w:rsid w:val="00A75098"/>
    <w:rsid w:val="00A755A3"/>
    <w:rsid w:val="00A76725"/>
    <w:rsid w:val="00A92D79"/>
    <w:rsid w:val="00A9570A"/>
    <w:rsid w:val="00AA2A3C"/>
    <w:rsid w:val="00AB1028"/>
    <w:rsid w:val="00AB15F1"/>
    <w:rsid w:val="00AB5455"/>
    <w:rsid w:val="00AB59E2"/>
    <w:rsid w:val="00AB5C88"/>
    <w:rsid w:val="00AC7155"/>
    <w:rsid w:val="00AD5966"/>
    <w:rsid w:val="00AD7028"/>
    <w:rsid w:val="00AD7074"/>
    <w:rsid w:val="00AD74B4"/>
    <w:rsid w:val="00AD7F97"/>
    <w:rsid w:val="00AE5666"/>
    <w:rsid w:val="00AF2627"/>
    <w:rsid w:val="00AF2F67"/>
    <w:rsid w:val="00AF3689"/>
    <w:rsid w:val="00AF4122"/>
    <w:rsid w:val="00AF6207"/>
    <w:rsid w:val="00B004E6"/>
    <w:rsid w:val="00B010E7"/>
    <w:rsid w:val="00B02DD9"/>
    <w:rsid w:val="00B03FFC"/>
    <w:rsid w:val="00B1082C"/>
    <w:rsid w:val="00B123B6"/>
    <w:rsid w:val="00B14BA9"/>
    <w:rsid w:val="00B15B25"/>
    <w:rsid w:val="00B16DE8"/>
    <w:rsid w:val="00B171AC"/>
    <w:rsid w:val="00B2140A"/>
    <w:rsid w:val="00B219B0"/>
    <w:rsid w:val="00B24427"/>
    <w:rsid w:val="00B25ADD"/>
    <w:rsid w:val="00B27C02"/>
    <w:rsid w:val="00B32098"/>
    <w:rsid w:val="00B33DD0"/>
    <w:rsid w:val="00B36D4F"/>
    <w:rsid w:val="00B40379"/>
    <w:rsid w:val="00B4416B"/>
    <w:rsid w:val="00B46733"/>
    <w:rsid w:val="00B4737E"/>
    <w:rsid w:val="00B51A09"/>
    <w:rsid w:val="00B57F0D"/>
    <w:rsid w:val="00B606BB"/>
    <w:rsid w:val="00B61D8F"/>
    <w:rsid w:val="00B710AE"/>
    <w:rsid w:val="00B71B96"/>
    <w:rsid w:val="00B74DB6"/>
    <w:rsid w:val="00B8010C"/>
    <w:rsid w:val="00B80362"/>
    <w:rsid w:val="00B9034E"/>
    <w:rsid w:val="00B90E9B"/>
    <w:rsid w:val="00BA284D"/>
    <w:rsid w:val="00BA52ED"/>
    <w:rsid w:val="00BA5512"/>
    <w:rsid w:val="00BA7352"/>
    <w:rsid w:val="00BB1D94"/>
    <w:rsid w:val="00BB6ECA"/>
    <w:rsid w:val="00BB75E7"/>
    <w:rsid w:val="00BC3986"/>
    <w:rsid w:val="00BC4224"/>
    <w:rsid w:val="00BC46BA"/>
    <w:rsid w:val="00BC4FAA"/>
    <w:rsid w:val="00BC6E3C"/>
    <w:rsid w:val="00BC7D9A"/>
    <w:rsid w:val="00BE5261"/>
    <w:rsid w:val="00BF4DDD"/>
    <w:rsid w:val="00C04E78"/>
    <w:rsid w:val="00C10BF0"/>
    <w:rsid w:val="00C11E63"/>
    <w:rsid w:val="00C15370"/>
    <w:rsid w:val="00C25801"/>
    <w:rsid w:val="00C25D12"/>
    <w:rsid w:val="00C31648"/>
    <w:rsid w:val="00C34AED"/>
    <w:rsid w:val="00C35A08"/>
    <w:rsid w:val="00C50C74"/>
    <w:rsid w:val="00C54914"/>
    <w:rsid w:val="00C55143"/>
    <w:rsid w:val="00C56400"/>
    <w:rsid w:val="00C60D49"/>
    <w:rsid w:val="00C61806"/>
    <w:rsid w:val="00C62C6D"/>
    <w:rsid w:val="00C67070"/>
    <w:rsid w:val="00C7177C"/>
    <w:rsid w:val="00C71DC5"/>
    <w:rsid w:val="00C734FE"/>
    <w:rsid w:val="00C75557"/>
    <w:rsid w:val="00C8129B"/>
    <w:rsid w:val="00C94B9B"/>
    <w:rsid w:val="00C96F99"/>
    <w:rsid w:val="00CA1804"/>
    <w:rsid w:val="00CA3CEC"/>
    <w:rsid w:val="00CA4FB2"/>
    <w:rsid w:val="00CA7595"/>
    <w:rsid w:val="00CA763E"/>
    <w:rsid w:val="00CB265A"/>
    <w:rsid w:val="00CB5231"/>
    <w:rsid w:val="00CB56D1"/>
    <w:rsid w:val="00CB65D9"/>
    <w:rsid w:val="00CC1626"/>
    <w:rsid w:val="00CC19C9"/>
    <w:rsid w:val="00CC19E5"/>
    <w:rsid w:val="00CC202C"/>
    <w:rsid w:val="00CC3952"/>
    <w:rsid w:val="00CC4C3E"/>
    <w:rsid w:val="00CD009D"/>
    <w:rsid w:val="00CD3BED"/>
    <w:rsid w:val="00CD582B"/>
    <w:rsid w:val="00CE0165"/>
    <w:rsid w:val="00CE6CA4"/>
    <w:rsid w:val="00CF658E"/>
    <w:rsid w:val="00CF7046"/>
    <w:rsid w:val="00D01061"/>
    <w:rsid w:val="00D022B1"/>
    <w:rsid w:val="00D03BAF"/>
    <w:rsid w:val="00D2527F"/>
    <w:rsid w:val="00D262B0"/>
    <w:rsid w:val="00D3465B"/>
    <w:rsid w:val="00D40BCB"/>
    <w:rsid w:val="00D41AFC"/>
    <w:rsid w:val="00D46E81"/>
    <w:rsid w:val="00D50B6B"/>
    <w:rsid w:val="00D52F72"/>
    <w:rsid w:val="00D61D94"/>
    <w:rsid w:val="00D674B2"/>
    <w:rsid w:val="00D67D47"/>
    <w:rsid w:val="00D76D1B"/>
    <w:rsid w:val="00D76F1C"/>
    <w:rsid w:val="00D77675"/>
    <w:rsid w:val="00D83B18"/>
    <w:rsid w:val="00D851C4"/>
    <w:rsid w:val="00D857B0"/>
    <w:rsid w:val="00D861ED"/>
    <w:rsid w:val="00D8709A"/>
    <w:rsid w:val="00D90A81"/>
    <w:rsid w:val="00D9442D"/>
    <w:rsid w:val="00D96270"/>
    <w:rsid w:val="00DA703E"/>
    <w:rsid w:val="00DA7BCC"/>
    <w:rsid w:val="00DB0741"/>
    <w:rsid w:val="00DB16D9"/>
    <w:rsid w:val="00DB3DCC"/>
    <w:rsid w:val="00DB618A"/>
    <w:rsid w:val="00DC5868"/>
    <w:rsid w:val="00DC7251"/>
    <w:rsid w:val="00DD1305"/>
    <w:rsid w:val="00DD1B0D"/>
    <w:rsid w:val="00DE0013"/>
    <w:rsid w:val="00DE12D7"/>
    <w:rsid w:val="00DE16C3"/>
    <w:rsid w:val="00DF49DB"/>
    <w:rsid w:val="00DF52B4"/>
    <w:rsid w:val="00DF68AD"/>
    <w:rsid w:val="00DF7598"/>
    <w:rsid w:val="00E0032E"/>
    <w:rsid w:val="00E038CA"/>
    <w:rsid w:val="00E03C5B"/>
    <w:rsid w:val="00E0442E"/>
    <w:rsid w:val="00E06008"/>
    <w:rsid w:val="00E06054"/>
    <w:rsid w:val="00E07105"/>
    <w:rsid w:val="00E07BC5"/>
    <w:rsid w:val="00E2040C"/>
    <w:rsid w:val="00E21321"/>
    <w:rsid w:val="00E21AF9"/>
    <w:rsid w:val="00E25FCD"/>
    <w:rsid w:val="00E31767"/>
    <w:rsid w:val="00E31FBE"/>
    <w:rsid w:val="00E32591"/>
    <w:rsid w:val="00E36847"/>
    <w:rsid w:val="00E402CD"/>
    <w:rsid w:val="00E43595"/>
    <w:rsid w:val="00E44883"/>
    <w:rsid w:val="00E44E42"/>
    <w:rsid w:val="00E5677C"/>
    <w:rsid w:val="00E61370"/>
    <w:rsid w:val="00E61DED"/>
    <w:rsid w:val="00E622C4"/>
    <w:rsid w:val="00E736F8"/>
    <w:rsid w:val="00E7646B"/>
    <w:rsid w:val="00E77252"/>
    <w:rsid w:val="00E77705"/>
    <w:rsid w:val="00E841A3"/>
    <w:rsid w:val="00E86C81"/>
    <w:rsid w:val="00E87442"/>
    <w:rsid w:val="00E87F76"/>
    <w:rsid w:val="00E91F04"/>
    <w:rsid w:val="00E93EDA"/>
    <w:rsid w:val="00E9408C"/>
    <w:rsid w:val="00E952C5"/>
    <w:rsid w:val="00EA0B68"/>
    <w:rsid w:val="00EA10C1"/>
    <w:rsid w:val="00EA16FF"/>
    <w:rsid w:val="00EB0FD9"/>
    <w:rsid w:val="00EB677D"/>
    <w:rsid w:val="00EB7B0B"/>
    <w:rsid w:val="00EC278C"/>
    <w:rsid w:val="00EC5937"/>
    <w:rsid w:val="00ED0BBF"/>
    <w:rsid w:val="00ED4542"/>
    <w:rsid w:val="00ED6074"/>
    <w:rsid w:val="00ED6F58"/>
    <w:rsid w:val="00EE3C77"/>
    <w:rsid w:val="00EF1F81"/>
    <w:rsid w:val="00EF6330"/>
    <w:rsid w:val="00F01443"/>
    <w:rsid w:val="00F029F2"/>
    <w:rsid w:val="00F04574"/>
    <w:rsid w:val="00F16C78"/>
    <w:rsid w:val="00F2045D"/>
    <w:rsid w:val="00F226F2"/>
    <w:rsid w:val="00F27E55"/>
    <w:rsid w:val="00F30918"/>
    <w:rsid w:val="00F33516"/>
    <w:rsid w:val="00F363C7"/>
    <w:rsid w:val="00F4008D"/>
    <w:rsid w:val="00F405D2"/>
    <w:rsid w:val="00F4406A"/>
    <w:rsid w:val="00F44F51"/>
    <w:rsid w:val="00F566D7"/>
    <w:rsid w:val="00F615FE"/>
    <w:rsid w:val="00F6758A"/>
    <w:rsid w:val="00F719B2"/>
    <w:rsid w:val="00F76959"/>
    <w:rsid w:val="00F80399"/>
    <w:rsid w:val="00F91DF6"/>
    <w:rsid w:val="00F923C4"/>
    <w:rsid w:val="00FA2F5E"/>
    <w:rsid w:val="00FA3415"/>
    <w:rsid w:val="00FB1A77"/>
    <w:rsid w:val="00FB4761"/>
    <w:rsid w:val="00FD3520"/>
    <w:rsid w:val="00FD5581"/>
    <w:rsid w:val="00FE10BE"/>
    <w:rsid w:val="00FF3ADB"/>
    <w:rsid w:val="00FF3B68"/>
    <w:rsid w:val="00FF4EC9"/>
    <w:rsid w:val="00FF67FC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pPr>
      <w:jc w:val="center"/>
    </w:pPr>
    <w:rPr>
      <w:b/>
      <w:bCs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semiHidden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xl28">
    <w:name w:val="xl28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styleId="Testodelblocco">
    <w:name w:val="Block Text"/>
    <w:basedOn w:val="Normale"/>
    <w:semiHidden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B1028"/>
    <w:rPr>
      <w:rFonts w:ascii="Geneva" w:hAnsi="Geneva"/>
      <w:sz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70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702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7029"/>
    <w:rPr>
      <w:rFonts w:ascii="Geneva" w:hAnsi="Genev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70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7029"/>
    <w:rPr>
      <w:rFonts w:ascii="Geneva" w:hAnsi="Genev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pPr>
      <w:jc w:val="center"/>
    </w:pPr>
    <w:rPr>
      <w:b/>
      <w:bCs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semiHidden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xl28">
    <w:name w:val="xl28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styleId="Testodelblocco">
    <w:name w:val="Block Text"/>
    <w:basedOn w:val="Normale"/>
    <w:semiHidden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B1028"/>
    <w:rPr>
      <w:rFonts w:ascii="Geneva" w:hAnsi="Geneva"/>
      <w:sz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70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702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7029"/>
    <w:rPr>
      <w:rFonts w:ascii="Geneva" w:hAnsi="Genev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70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7029"/>
    <w:rPr>
      <w:rFonts w:ascii="Geneva" w:hAnsi="Genev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94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01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6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87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09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290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99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07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87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3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6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91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833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355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72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716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693">
              <w:marLeft w:val="0"/>
              <w:marRight w:val="0"/>
              <w:marTop w:val="75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1420577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13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http://www.lucasani.it/wp-content/uploads/2008/08/confturismo-11.jp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C0556F-2CE3-4A9A-89AB-B8F4C3FF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1370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8661</CharactersWithSpaces>
  <SharedDoc>false</SharedDoc>
  <HLinks>
    <vt:vector size="6" baseType="variant">
      <vt:variant>
        <vt:i4>4784128</vt:i4>
      </vt:variant>
      <vt:variant>
        <vt:i4>-1</vt:i4>
      </vt:variant>
      <vt:variant>
        <vt:i4>1050</vt:i4>
      </vt:variant>
      <vt:variant>
        <vt:i4>1</vt:i4>
      </vt:variant>
      <vt:variant>
        <vt:lpwstr>http://www.lucasani.it/wp-content/uploads/2008/08/confturismo-11.jpg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COM. IMMAGINE</dc:creator>
  <cp:lastModifiedBy>moretti</cp:lastModifiedBy>
  <cp:revision>7</cp:revision>
  <cp:lastPrinted>2017-03-28T14:20:00Z</cp:lastPrinted>
  <dcterms:created xsi:type="dcterms:W3CDTF">2017-03-28T14:02:00Z</dcterms:created>
  <dcterms:modified xsi:type="dcterms:W3CDTF">2017-03-29T14:54:00Z</dcterms:modified>
</cp:coreProperties>
</file>