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62" w:rsidRDefault="00EE766C" w:rsidP="00EE766C">
      <w:pPr>
        <w:tabs>
          <w:tab w:val="left" w:pos="3420"/>
        </w:tabs>
        <w:suppressAutoHyphens/>
        <w:rPr>
          <w:rFonts w:ascii="Calibri" w:hAnsi="Calibri" w:cs="Calibri"/>
          <w:color w:val="1F497D"/>
          <w:sz w:val="28"/>
          <w:szCs w:val="28"/>
        </w:rPr>
      </w:pPr>
      <w:r>
        <w:rPr>
          <w:rFonts w:ascii="Calibri" w:hAnsi="Calibri" w:cs="Calibri"/>
          <w:color w:val="1F497D"/>
          <w:sz w:val="28"/>
          <w:szCs w:val="28"/>
        </w:rPr>
        <w:tab/>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14:anchorId="39449723" wp14:editId="1766F8CD">
            <wp:simplePos x="0" y="0"/>
            <wp:positionH relativeFrom="column">
              <wp:posOffset>-70485</wp:posOffset>
            </wp:positionH>
            <wp:positionV relativeFrom="paragraph">
              <wp:posOffset>11430</wp:posOffset>
            </wp:positionV>
            <wp:extent cx="6332220" cy="214757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22E94175" wp14:editId="6980EB7C">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63B" w:rsidRPr="002D3762" w:rsidRDefault="0015563B"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2014</w:t>
                            </w:r>
                          </w:p>
                          <w:p w:rsidR="0015563B" w:rsidRPr="002D3762" w:rsidRDefault="0015563B" w:rsidP="00575691">
                            <w:pPr>
                              <w:jc w:val="right"/>
                              <w:rPr>
                                <w:rFonts w:ascii="Calibri" w:hAnsi="Calibri" w:cs="Calibri"/>
                                <w:iCs/>
                                <w:color w:val="FFFFFF"/>
                                <w:sz w:val="36"/>
                                <w:szCs w:val="36"/>
                              </w:rPr>
                            </w:pPr>
                          </w:p>
                          <w:p w:rsidR="0015563B" w:rsidRPr="002D3762" w:rsidRDefault="0015563B"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E94175" id="_x0000_t202" coordsize="21600,21600" o:spt="202" path="m,l,21600r21600,l21600,xe">
                <v:stroke joinstyle="miter"/>
                <v:path gradientshapeok="t" o:connecttype="rect"/>
              </v:shapetype>
              <v:shape id="Casella di testo 3" o:spid="_x0000_s1026" type="#_x0000_t202" style="position:absolute;left:0;text-align:left;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rsidR="0015563B" w:rsidRPr="002D3762" w:rsidRDefault="0015563B"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2014</w:t>
                      </w:r>
                    </w:p>
                    <w:p w:rsidR="0015563B" w:rsidRPr="002D3762" w:rsidRDefault="0015563B" w:rsidP="00575691">
                      <w:pPr>
                        <w:jc w:val="right"/>
                        <w:rPr>
                          <w:rFonts w:ascii="Calibri" w:hAnsi="Calibri" w:cs="Calibri"/>
                          <w:iCs/>
                          <w:color w:val="FFFFFF"/>
                          <w:sz w:val="36"/>
                          <w:szCs w:val="36"/>
                        </w:rPr>
                      </w:pPr>
                    </w:p>
                    <w:p w:rsidR="0015563B" w:rsidRPr="002D3762" w:rsidRDefault="0015563B"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v:textbox>
              </v:shape>
            </w:pict>
          </mc:Fallback>
        </mc:AlternateContent>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2D3762">
      <w:pPr>
        <w:tabs>
          <w:tab w:val="left" w:pos="357"/>
        </w:tabs>
        <w:suppressAutoHyphens/>
        <w:jc w:val="center"/>
        <w:rPr>
          <w:rFonts w:ascii="Calibri" w:hAnsi="Calibri" w:cs="Calibri"/>
          <w:color w:val="1F497D"/>
          <w:sz w:val="28"/>
          <w:szCs w:val="28"/>
        </w:rPr>
      </w:pPr>
    </w:p>
    <w:p w:rsidR="002D3762" w:rsidRDefault="002D3762" w:rsidP="002D3762">
      <w:pPr>
        <w:tabs>
          <w:tab w:val="left" w:pos="357"/>
        </w:tabs>
        <w:suppressAutoHyphens/>
        <w:jc w:val="center"/>
        <w:rPr>
          <w:rFonts w:ascii="Calibri" w:hAnsi="Calibri" w:cs="Calibri"/>
          <w:color w:val="1F497D"/>
          <w:sz w:val="28"/>
          <w:szCs w:val="28"/>
        </w:rPr>
      </w:pPr>
    </w:p>
    <w:p w:rsidR="006E2E9E" w:rsidRDefault="00C86D36" w:rsidP="002D3762">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 xml:space="preserve">1° </w:t>
      </w:r>
      <w:r w:rsidR="00233F7C">
        <w:rPr>
          <w:rFonts w:ascii="Calibri" w:hAnsi="Calibri" w:cs="Calibri"/>
          <w:color w:val="1F497D"/>
          <w:sz w:val="28"/>
          <w:szCs w:val="28"/>
        </w:rPr>
        <w:t>AGOSTO</w:t>
      </w:r>
      <w:r w:rsidR="002D3762" w:rsidRPr="00CC2E4C">
        <w:rPr>
          <w:rFonts w:ascii="Calibri" w:hAnsi="Calibri" w:cs="Calibri"/>
          <w:color w:val="1F497D"/>
          <w:sz w:val="28"/>
          <w:szCs w:val="28"/>
        </w:rPr>
        <w:t xml:space="preserve"> 2014</w:t>
      </w:r>
    </w:p>
    <w:p w:rsidR="008A4E21" w:rsidRDefault="008A4E21" w:rsidP="002D3762">
      <w:pPr>
        <w:tabs>
          <w:tab w:val="left" w:pos="357"/>
        </w:tabs>
        <w:suppressAutoHyphens/>
        <w:jc w:val="center"/>
        <w:rPr>
          <w:rFonts w:ascii="Calibri" w:hAnsi="Calibri" w:cs="Calibri"/>
          <w:color w:val="1F497D"/>
          <w:sz w:val="28"/>
          <w:szCs w:val="28"/>
        </w:rPr>
      </w:pPr>
    </w:p>
    <w:p w:rsidR="000C003A" w:rsidRPr="006D528D" w:rsidRDefault="00C86D36" w:rsidP="000C003A">
      <w:pPr>
        <w:tabs>
          <w:tab w:val="left" w:pos="357"/>
        </w:tabs>
        <w:suppressAutoHyphens/>
        <w:jc w:val="center"/>
        <w:rPr>
          <w:rFonts w:ascii="Calibri" w:hAnsi="Calibri" w:cs="Calibri"/>
          <w:color w:val="1F497D"/>
          <w:sz w:val="28"/>
          <w:szCs w:val="28"/>
          <w:u w:val="single"/>
        </w:rPr>
      </w:pPr>
      <w:r>
        <w:rPr>
          <w:rFonts w:ascii="Calibri" w:hAnsi="Calibri" w:cs="Calibri"/>
          <w:color w:val="1F497D"/>
          <w:sz w:val="28"/>
          <w:szCs w:val="28"/>
          <w:u w:val="single"/>
        </w:rPr>
        <w:t>SINTESI</w:t>
      </w:r>
      <w:r w:rsidR="000C003A" w:rsidRPr="006D528D">
        <w:rPr>
          <w:rFonts w:ascii="Calibri" w:hAnsi="Calibri" w:cs="Calibri"/>
          <w:color w:val="1F497D"/>
          <w:sz w:val="28"/>
          <w:szCs w:val="28"/>
          <w:u w:val="single"/>
        </w:rPr>
        <w:t xml:space="preserve"> PER LA STAMPA</w:t>
      </w: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Theme="minorHAnsi" w:hAnsiTheme="minorHAnsi"/>
          <w:b/>
          <w:sz w:val="28"/>
          <w:szCs w:val="28"/>
        </w:rPr>
      </w:pPr>
    </w:p>
    <w:p w:rsidR="006E2E9E" w:rsidRDefault="006E2E9E" w:rsidP="00AE50F2">
      <w:pPr>
        <w:tabs>
          <w:tab w:val="left" w:pos="357"/>
        </w:tabs>
        <w:suppressAutoHyphens/>
        <w:rPr>
          <w:rFonts w:asciiTheme="minorHAnsi" w:hAnsiTheme="minorHAnsi"/>
          <w:b/>
          <w:sz w:val="28"/>
          <w:szCs w:val="28"/>
        </w:rPr>
      </w:pPr>
    </w:p>
    <w:p w:rsidR="002D3762" w:rsidRPr="00CC2E4C" w:rsidRDefault="001F1801" w:rsidP="008A4E21">
      <w:pPr>
        <w:jc w:val="center"/>
        <w:rPr>
          <w:rFonts w:ascii="Calibri" w:hAnsi="Calibri" w:cs="Calibri"/>
          <w:color w:val="1F497D"/>
          <w:sz w:val="28"/>
          <w:szCs w:val="28"/>
        </w:rPr>
      </w:pPr>
      <w:r>
        <w:rPr>
          <w:rFonts w:asciiTheme="minorHAnsi" w:hAnsiTheme="minorHAnsi"/>
          <w:b/>
          <w:noProof/>
          <w:sz w:val="28"/>
          <w:szCs w:val="28"/>
        </w:rPr>
        <w:drawing>
          <wp:inline distT="0" distB="0" distL="0" distR="0">
            <wp:extent cx="1962150" cy="933450"/>
            <wp:effectExtent l="0" t="0" r="0" b="0"/>
            <wp:docPr id="7" name="Immagine 1"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FCOMMERC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933450"/>
                    </a:xfrm>
                    <a:prstGeom prst="rect">
                      <a:avLst/>
                    </a:prstGeom>
                    <a:noFill/>
                    <a:ln>
                      <a:noFill/>
                    </a:ln>
                  </pic:spPr>
                </pic:pic>
              </a:graphicData>
            </a:graphic>
          </wp:inline>
        </w:drawing>
      </w:r>
      <w:r w:rsidR="00575691">
        <w:rPr>
          <w:rFonts w:asciiTheme="minorHAnsi" w:hAnsiTheme="minorHAnsi"/>
          <w:b/>
          <w:sz w:val="28"/>
          <w:szCs w:val="28"/>
        </w:rPr>
        <w:br w:type="page"/>
      </w:r>
    </w:p>
    <w:p w:rsidR="007A64EE" w:rsidRDefault="007A64EE" w:rsidP="006A0BF2">
      <w:pPr>
        <w:spacing w:after="200" w:line="276" w:lineRule="auto"/>
        <w:rPr>
          <w:rFonts w:asciiTheme="minorHAnsi" w:eastAsia="Calibri" w:hAnsiTheme="minorHAnsi" w:cstheme="minorHAnsi"/>
          <w:szCs w:val="24"/>
        </w:rPr>
      </w:pPr>
    </w:p>
    <w:p w:rsidR="00FC4118" w:rsidRPr="00BB3ED6" w:rsidRDefault="00FC4118" w:rsidP="00BB3ED6">
      <w:pPr>
        <w:rPr>
          <w:rFonts w:asciiTheme="minorHAnsi" w:eastAsia="Calibri" w:hAnsiTheme="minorHAnsi" w:cstheme="minorHAnsi"/>
          <w:sz w:val="22"/>
          <w:szCs w:val="22"/>
        </w:rPr>
      </w:pPr>
    </w:p>
    <w:p w:rsidR="00B74650" w:rsidRPr="00AE50F2" w:rsidRDefault="002D3762" w:rsidP="00BB3ED6">
      <w:pPr>
        <w:spacing w:after="200" w:line="276" w:lineRule="auto"/>
        <w:rPr>
          <w:rFonts w:asciiTheme="minorHAnsi" w:hAnsiTheme="minorHAnsi"/>
          <w:b/>
          <w:sz w:val="28"/>
          <w:szCs w:val="28"/>
        </w:rPr>
      </w:pPr>
      <w:bookmarkStart w:id="0" w:name="_GoBack"/>
      <w:bookmarkEnd w:id="0"/>
      <w:r>
        <w:rPr>
          <w:rFonts w:asciiTheme="minorHAnsi" w:hAnsiTheme="minorHAnsi"/>
          <w:b/>
          <w:sz w:val="28"/>
          <w:szCs w:val="28"/>
        </w:rPr>
        <w:t>I</w:t>
      </w:r>
      <w:r w:rsidR="00AE50F2" w:rsidRPr="00AE50F2">
        <w:rPr>
          <w:rFonts w:asciiTheme="minorHAnsi" w:hAnsiTheme="minorHAnsi"/>
          <w:b/>
          <w:sz w:val="28"/>
          <w:szCs w:val="28"/>
        </w:rPr>
        <w:t>l mercato immobiliare in Italia</w:t>
      </w:r>
    </w:p>
    <w:p w:rsidR="00AE50F2" w:rsidRDefault="00AE50F2" w:rsidP="00364602">
      <w:pPr>
        <w:rPr>
          <w:rFonts w:asciiTheme="minorHAnsi" w:eastAsia="Calibri" w:hAnsiTheme="minorHAnsi" w:cstheme="minorHAnsi"/>
          <w:szCs w:val="24"/>
        </w:rPr>
      </w:pPr>
    </w:p>
    <w:p w:rsidR="00EF2F69" w:rsidRPr="00B41D26" w:rsidRDefault="00EF2F69" w:rsidP="00C61B0B">
      <w:pPr>
        <w:spacing w:before="120"/>
        <w:rPr>
          <w:rFonts w:asciiTheme="minorHAnsi" w:eastAsia="Calibri" w:hAnsiTheme="minorHAnsi" w:cstheme="minorHAnsi"/>
          <w:sz w:val="22"/>
          <w:szCs w:val="22"/>
        </w:rPr>
      </w:pPr>
      <w:r w:rsidRPr="00EF2F69">
        <w:rPr>
          <w:rFonts w:asciiTheme="minorHAnsi" w:eastAsia="Calibri" w:hAnsiTheme="minorHAnsi" w:cstheme="minorHAnsi"/>
          <w:sz w:val="22"/>
          <w:szCs w:val="22"/>
        </w:rPr>
        <w:t>A livello nazionale la congiuntura negativa che ha pesantemente investito il settore immobiliare a partire dal 2008 ha determinato un rid</w:t>
      </w:r>
      <w:r w:rsidR="004738DE">
        <w:rPr>
          <w:rFonts w:asciiTheme="minorHAnsi" w:eastAsia="Calibri" w:hAnsiTheme="minorHAnsi" w:cstheme="minorHAnsi"/>
          <w:sz w:val="22"/>
          <w:szCs w:val="22"/>
        </w:rPr>
        <w:t xml:space="preserve">imensionamento significativo </w:t>
      </w:r>
      <w:r w:rsidR="004738DE" w:rsidRPr="00B41D26">
        <w:rPr>
          <w:rFonts w:asciiTheme="minorHAnsi" w:eastAsia="Calibri" w:hAnsiTheme="minorHAnsi" w:cstheme="minorHAnsi"/>
          <w:sz w:val="22"/>
          <w:szCs w:val="22"/>
        </w:rPr>
        <w:t>delle compravendite</w:t>
      </w:r>
      <w:r w:rsidRPr="00B41D26">
        <w:rPr>
          <w:rFonts w:asciiTheme="minorHAnsi" w:eastAsia="Calibri" w:hAnsiTheme="minorHAnsi" w:cstheme="minorHAnsi"/>
          <w:sz w:val="22"/>
          <w:szCs w:val="22"/>
        </w:rPr>
        <w:t xml:space="preserve">, con quantità </w:t>
      </w:r>
      <w:r w:rsidR="007A4858" w:rsidRPr="00B41D26">
        <w:rPr>
          <w:rFonts w:asciiTheme="minorHAnsi" w:eastAsia="Calibri" w:hAnsiTheme="minorHAnsi" w:cstheme="minorHAnsi"/>
          <w:sz w:val="22"/>
          <w:szCs w:val="22"/>
        </w:rPr>
        <w:t xml:space="preserve">quasi </w:t>
      </w:r>
      <w:r w:rsidRPr="00B41D26">
        <w:rPr>
          <w:rFonts w:asciiTheme="minorHAnsi" w:eastAsia="Calibri" w:hAnsiTheme="minorHAnsi" w:cstheme="minorHAnsi"/>
          <w:sz w:val="22"/>
          <w:szCs w:val="22"/>
        </w:rPr>
        <w:t>d</w:t>
      </w:r>
      <w:r w:rsidR="004738DE" w:rsidRPr="00B41D26">
        <w:rPr>
          <w:rFonts w:asciiTheme="minorHAnsi" w:eastAsia="Calibri" w:hAnsiTheme="minorHAnsi" w:cstheme="minorHAnsi"/>
          <w:sz w:val="22"/>
          <w:szCs w:val="22"/>
        </w:rPr>
        <w:t>imezzate nel segmento abitativo</w:t>
      </w:r>
      <w:r w:rsidR="002F6F6E">
        <w:rPr>
          <w:rFonts w:asciiTheme="minorHAnsi" w:eastAsia="Calibri" w:hAnsiTheme="minorHAnsi" w:cstheme="minorHAnsi"/>
          <w:sz w:val="22"/>
          <w:szCs w:val="22"/>
        </w:rPr>
        <w:t>.</w:t>
      </w:r>
    </w:p>
    <w:p w:rsidR="00EF2F69" w:rsidRPr="00B41D26" w:rsidRDefault="00EF2F69" w:rsidP="00C61B0B">
      <w:pPr>
        <w:tabs>
          <w:tab w:val="left" w:pos="357"/>
        </w:tabs>
        <w:suppressAutoHyphens/>
        <w:spacing w:before="120"/>
        <w:rPr>
          <w:rFonts w:asciiTheme="minorHAnsi" w:hAnsiTheme="minorHAnsi"/>
          <w:sz w:val="22"/>
          <w:szCs w:val="22"/>
        </w:rPr>
      </w:pPr>
      <w:r w:rsidRPr="00B41D26">
        <w:rPr>
          <w:rFonts w:asciiTheme="minorHAnsi" w:eastAsia="Calibri" w:hAnsiTheme="minorHAnsi" w:cstheme="minorHAnsi"/>
          <w:sz w:val="22"/>
          <w:szCs w:val="22"/>
        </w:rPr>
        <w:t>Il primo trimestre dell’anno in corso ha segnato, tuttavia, un’inversione di tendenza, con un</w:t>
      </w:r>
      <w:r w:rsidRPr="00B41D26">
        <w:rPr>
          <w:rFonts w:asciiTheme="minorHAnsi" w:hAnsiTheme="minorHAnsi"/>
          <w:sz w:val="22"/>
          <w:szCs w:val="22"/>
        </w:rPr>
        <w:t xml:space="preserve"> balzo in avanti delle compravendite residenziali nell’ordine del 4,1% tendenziale, ponendo con ogni probabilità fine a sette anni di marcata flessione, con la sola eccezione del rimbalzo (+4,3%), peraltro subito rientrato a causa della nuova caduta del ciclo economico e di settore, registrato nel primo trimestre del 2010.</w:t>
      </w:r>
    </w:p>
    <w:p w:rsidR="00EF2F69" w:rsidRPr="00B41D26" w:rsidRDefault="00EF2F69" w:rsidP="00C61B0B">
      <w:pPr>
        <w:tabs>
          <w:tab w:val="left" w:pos="357"/>
        </w:tabs>
        <w:suppressAutoHyphens/>
        <w:spacing w:before="120"/>
        <w:rPr>
          <w:rFonts w:asciiTheme="minorHAnsi" w:eastAsia="Calibri" w:hAnsiTheme="minorHAnsi" w:cstheme="minorHAnsi"/>
          <w:sz w:val="22"/>
          <w:szCs w:val="22"/>
        </w:rPr>
      </w:pPr>
      <w:r w:rsidRPr="00B41D26">
        <w:rPr>
          <w:rFonts w:asciiTheme="minorHAnsi" w:eastAsia="Calibri" w:hAnsiTheme="minorHAnsi" w:cstheme="minorHAnsi"/>
          <w:sz w:val="22"/>
          <w:szCs w:val="22"/>
        </w:rPr>
        <w:t xml:space="preserve">La modestia delle transazioni registrate sul mercato negli ultimi anni scaturisce dalla perdurante difficoltà di incontro tra un’offerta in continuo aumento e una domanda in progressiva contrazione, in tutti i segmenti in cui si articola il mercato residenziale. </w:t>
      </w:r>
    </w:p>
    <w:p w:rsidR="004738DE" w:rsidRPr="00B41D26" w:rsidRDefault="004738DE" w:rsidP="00C61B0B">
      <w:pPr>
        <w:tabs>
          <w:tab w:val="left" w:pos="357"/>
        </w:tabs>
        <w:suppressAutoHyphens/>
        <w:spacing w:before="120"/>
        <w:rPr>
          <w:rFonts w:asciiTheme="minorHAnsi" w:eastAsia="Calibri" w:hAnsiTheme="minorHAnsi" w:cstheme="minorHAnsi"/>
          <w:sz w:val="22"/>
          <w:szCs w:val="22"/>
        </w:rPr>
      </w:pPr>
      <w:r w:rsidRPr="00B41D26">
        <w:rPr>
          <w:rFonts w:asciiTheme="minorHAnsi" w:eastAsia="Calibri" w:hAnsiTheme="minorHAnsi" w:cstheme="minorHAnsi"/>
          <w:sz w:val="22"/>
          <w:szCs w:val="22"/>
        </w:rPr>
        <w:t>Rispetto a tale quadro occorre, tuttavia, sottolineare che</w:t>
      </w:r>
      <w:r w:rsidR="00FD5589" w:rsidRPr="00B41D26">
        <w:rPr>
          <w:rFonts w:asciiTheme="minorHAnsi" w:eastAsia="Calibri" w:hAnsiTheme="minorHAnsi" w:cstheme="minorHAnsi"/>
          <w:sz w:val="22"/>
          <w:szCs w:val="22"/>
        </w:rPr>
        <w:t xml:space="preserve"> nel primo semestre dell’anno prosegue l’aumento dell</w:t>
      </w:r>
      <w:r w:rsidR="00B41D26" w:rsidRPr="00B41D26">
        <w:rPr>
          <w:rFonts w:asciiTheme="minorHAnsi" w:eastAsia="Calibri" w:hAnsiTheme="minorHAnsi" w:cstheme="minorHAnsi"/>
          <w:sz w:val="22"/>
          <w:szCs w:val="22"/>
        </w:rPr>
        <w:t>’</w:t>
      </w:r>
      <w:r w:rsidRPr="00B41D26">
        <w:rPr>
          <w:rFonts w:asciiTheme="minorHAnsi" w:eastAsia="Calibri" w:hAnsiTheme="minorHAnsi" w:cstheme="minorHAnsi"/>
          <w:sz w:val="22"/>
          <w:szCs w:val="22"/>
        </w:rPr>
        <w:t>offerta di immobili in vendita, mentre la domanda di acquisto registra un segno negativo</w:t>
      </w:r>
      <w:r w:rsidR="00FD5589" w:rsidRPr="00B41D26">
        <w:rPr>
          <w:rFonts w:asciiTheme="minorHAnsi" w:eastAsia="Calibri" w:hAnsiTheme="minorHAnsi" w:cstheme="minorHAnsi"/>
          <w:sz w:val="22"/>
          <w:szCs w:val="22"/>
        </w:rPr>
        <w:t>,</w:t>
      </w:r>
      <w:r w:rsidRPr="00B41D26">
        <w:rPr>
          <w:rFonts w:asciiTheme="minorHAnsi" w:eastAsia="Calibri" w:hAnsiTheme="minorHAnsi" w:cstheme="minorHAnsi"/>
          <w:sz w:val="22"/>
          <w:szCs w:val="22"/>
        </w:rPr>
        <w:t xml:space="preserve"> anche se non mancano indicazioni di un leggero miglioramento.</w:t>
      </w:r>
    </w:p>
    <w:p w:rsidR="00EF2F69" w:rsidRPr="00B41D26" w:rsidRDefault="00EF2F69" w:rsidP="00C61B0B">
      <w:pPr>
        <w:tabs>
          <w:tab w:val="left" w:pos="357"/>
        </w:tabs>
        <w:suppressAutoHyphens/>
        <w:spacing w:before="120"/>
        <w:rPr>
          <w:rFonts w:asciiTheme="minorHAnsi" w:eastAsia="Calibri" w:hAnsiTheme="minorHAnsi" w:cstheme="minorHAnsi"/>
          <w:sz w:val="22"/>
          <w:szCs w:val="22"/>
        </w:rPr>
      </w:pPr>
      <w:r w:rsidRPr="00B41D26">
        <w:rPr>
          <w:rFonts w:asciiTheme="minorHAnsi" w:eastAsia="Calibri" w:hAnsiTheme="minorHAnsi" w:cstheme="minorHAnsi"/>
          <w:sz w:val="22"/>
          <w:szCs w:val="22"/>
        </w:rPr>
        <w:t>Diversa la situazione sul versante locativo, dove dal 2008 la domanda risulta essere in costante crescita, anche in virtù delle concomitanti difficoltà di accesso al mercato della proprietà.</w:t>
      </w:r>
    </w:p>
    <w:p w:rsidR="00EF2F69" w:rsidRPr="00EF2F69" w:rsidRDefault="004A177A" w:rsidP="00C61B0B">
      <w:pPr>
        <w:tabs>
          <w:tab w:val="left" w:pos="357"/>
        </w:tabs>
        <w:suppressAutoHyphens/>
        <w:spacing w:before="120"/>
        <w:rPr>
          <w:rFonts w:asciiTheme="minorHAnsi" w:eastAsia="Calibri" w:hAnsiTheme="minorHAnsi" w:cstheme="minorHAnsi"/>
          <w:sz w:val="22"/>
          <w:szCs w:val="22"/>
        </w:rPr>
      </w:pPr>
      <w:r w:rsidRPr="00B41D26">
        <w:rPr>
          <w:rFonts w:asciiTheme="minorHAnsi" w:eastAsia="Calibri" w:hAnsiTheme="minorHAnsi" w:cstheme="minorHAnsi"/>
          <w:sz w:val="22"/>
          <w:szCs w:val="22"/>
        </w:rPr>
        <w:t xml:space="preserve">Tuttavia vi è un problema di incontro </w:t>
      </w:r>
      <w:r w:rsidR="00FD5589" w:rsidRPr="00B41D26">
        <w:rPr>
          <w:rFonts w:asciiTheme="minorHAnsi" w:eastAsia="Calibri" w:hAnsiTheme="minorHAnsi" w:cstheme="minorHAnsi"/>
          <w:sz w:val="22"/>
          <w:szCs w:val="22"/>
        </w:rPr>
        <w:t>tra domanda e offerta</w:t>
      </w:r>
      <w:r w:rsidRPr="00B41D26">
        <w:rPr>
          <w:rFonts w:asciiTheme="minorHAnsi" w:eastAsia="Calibri" w:hAnsiTheme="minorHAnsi" w:cstheme="minorHAnsi"/>
          <w:sz w:val="22"/>
          <w:szCs w:val="22"/>
        </w:rPr>
        <w:t xml:space="preserve"> a</w:t>
      </w:r>
      <w:r w:rsidR="00EF2F69" w:rsidRPr="00B41D26">
        <w:rPr>
          <w:rFonts w:asciiTheme="minorHAnsi" w:eastAsia="Calibri" w:hAnsiTheme="minorHAnsi" w:cstheme="minorHAnsi"/>
          <w:sz w:val="22"/>
          <w:szCs w:val="22"/>
        </w:rPr>
        <w:t>nche per gli affitti,</w:t>
      </w:r>
      <w:r w:rsidR="00EF2F69" w:rsidRPr="00EF2F69">
        <w:rPr>
          <w:rFonts w:asciiTheme="minorHAnsi" w:eastAsia="Calibri" w:hAnsiTheme="minorHAnsi" w:cstheme="minorHAnsi"/>
          <w:sz w:val="22"/>
          <w:szCs w:val="22"/>
        </w:rPr>
        <w:t xml:space="preserve"> come si può evincere dal nuovo calo del numero dei contratti stipulati registrato nel primo semestre dell’anno.</w:t>
      </w:r>
    </w:p>
    <w:p w:rsidR="00EF2F69" w:rsidRPr="00EF2F69" w:rsidRDefault="00EF2F69" w:rsidP="00C61B0B">
      <w:pPr>
        <w:pStyle w:val="Paragrafoelenco1"/>
        <w:tabs>
          <w:tab w:val="left" w:pos="1418"/>
        </w:tabs>
        <w:suppressAutoHyphens/>
        <w:spacing w:before="120"/>
        <w:ind w:left="0"/>
        <w:rPr>
          <w:rFonts w:asciiTheme="minorHAnsi" w:hAnsiTheme="minorHAnsi" w:cs="Calibri"/>
          <w:sz w:val="22"/>
          <w:szCs w:val="22"/>
        </w:rPr>
      </w:pPr>
      <w:r w:rsidRPr="00EF2F69">
        <w:rPr>
          <w:rFonts w:asciiTheme="minorHAnsi" w:hAnsiTheme="minorHAnsi" w:cs="Calibri"/>
          <w:sz w:val="22"/>
          <w:szCs w:val="22"/>
        </w:rPr>
        <w:t>In una situazione di mercato caratterizzata da un’offerta ormai stabilmente ingente – influenzata anche dalle accresciute esigenze di disinvestimento, per far fronte a necessità contingenti anche solo per sottrarsi al</w:t>
      </w:r>
      <w:r w:rsidR="004A177A">
        <w:rPr>
          <w:rFonts w:asciiTheme="minorHAnsi" w:hAnsiTheme="minorHAnsi" w:cs="Calibri"/>
          <w:sz w:val="22"/>
          <w:szCs w:val="22"/>
        </w:rPr>
        <w:t xml:space="preserve">l’eccessiva imposizione </w:t>
      </w:r>
      <w:r w:rsidRPr="00EF2F69">
        <w:rPr>
          <w:rFonts w:asciiTheme="minorHAnsi" w:hAnsiTheme="minorHAnsi" w:cs="Calibri"/>
          <w:sz w:val="22"/>
          <w:szCs w:val="22"/>
        </w:rPr>
        <w:t xml:space="preserve">fiscale – e da una domanda fortemente indebolita nelle capacità attuali e prospettiche, si è inevitabilmente accentuata l’illiquidità degli </w:t>
      </w:r>
      <w:proofErr w:type="spellStart"/>
      <w:r w:rsidRPr="00EF2F69">
        <w:rPr>
          <w:rFonts w:asciiTheme="minorHAnsi" w:hAnsiTheme="minorHAnsi" w:cs="Calibri"/>
          <w:i/>
          <w:sz w:val="22"/>
          <w:szCs w:val="22"/>
        </w:rPr>
        <w:t>asset</w:t>
      </w:r>
      <w:proofErr w:type="spellEnd"/>
      <w:r w:rsidRPr="00EF2F69">
        <w:rPr>
          <w:rFonts w:asciiTheme="minorHAnsi" w:hAnsiTheme="minorHAnsi" w:cs="Calibri"/>
          <w:sz w:val="22"/>
          <w:szCs w:val="22"/>
        </w:rPr>
        <w:t xml:space="preserve"> immobiliari.</w:t>
      </w:r>
    </w:p>
    <w:p w:rsidR="00EF2F69" w:rsidRPr="00EF2F69" w:rsidRDefault="00EF2F69" w:rsidP="00C61B0B">
      <w:pPr>
        <w:pStyle w:val="Paragrafoelenco1"/>
        <w:tabs>
          <w:tab w:val="left" w:pos="1418"/>
        </w:tabs>
        <w:suppressAutoHyphens/>
        <w:spacing w:before="120"/>
        <w:ind w:left="0"/>
        <w:rPr>
          <w:rFonts w:asciiTheme="minorHAnsi" w:hAnsiTheme="minorHAnsi" w:cs="Calibri"/>
          <w:sz w:val="22"/>
          <w:szCs w:val="22"/>
        </w:rPr>
      </w:pPr>
      <w:r w:rsidRPr="00EF2F69">
        <w:rPr>
          <w:rFonts w:asciiTheme="minorHAnsi" w:hAnsiTheme="minorHAnsi" w:cs="Calibri"/>
          <w:sz w:val="22"/>
          <w:szCs w:val="22"/>
        </w:rPr>
        <w:t>I tempi medi di vendita hanno raggiunto pressoché ovunque livelli decisamente elev</w:t>
      </w:r>
      <w:r w:rsidR="000C1555">
        <w:rPr>
          <w:rFonts w:asciiTheme="minorHAnsi" w:hAnsiTheme="minorHAnsi" w:cs="Calibri"/>
          <w:sz w:val="22"/>
          <w:szCs w:val="22"/>
        </w:rPr>
        <w:t xml:space="preserve">ati, raggiungendo in media gli </w:t>
      </w:r>
      <w:r w:rsidRPr="00EF2F69">
        <w:rPr>
          <w:rFonts w:asciiTheme="minorHAnsi" w:hAnsiTheme="minorHAnsi" w:cs="Calibri"/>
          <w:sz w:val="22"/>
          <w:szCs w:val="22"/>
        </w:rPr>
        <w:t>8-9 mesi (con punte prossime ai 12 mesi in alcune zone periferiche), così come si sono notevolmente allungate le tempistiche necessarie alla locazione</w:t>
      </w:r>
      <w:r w:rsidR="00FD5589">
        <w:rPr>
          <w:rFonts w:asciiTheme="minorHAnsi" w:hAnsiTheme="minorHAnsi" w:cs="Calibri"/>
          <w:sz w:val="22"/>
          <w:szCs w:val="22"/>
        </w:rPr>
        <w:t xml:space="preserve"> (rispetto al </w:t>
      </w:r>
      <w:r w:rsidR="00740A87">
        <w:rPr>
          <w:rFonts w:asciiTheme="minorHAnsi" w:hAnsiTheme="minorHAnsi" w:cs="Calibri"/>
          <w:sz w:val="22"/>
          <w:szCs w:val="22"/>
        </w:rPr>
        <w:t>periodo</w:t>
      </w:r>
      <w:r w:rsidR="00FD5589">
        <w:rPr>
          <w:rFonts w:asciiTheme="minorHAnsi" w:hAnsiTheme="minorHAnsi" w:cs="Calibri"/>
          <w:sz w:val="22"/>
          <w:szCs w:val="22"/>
        </w:rPr>
        <w:t xml:space="preserve"> pre-crisi)</w:t>
      </w:r>
      <w:r w:rsidRPr="00EF2F69">
        <w:rPr>
          <w:rFonts w:asciiTheme="minorHAnsi" w:hAnsiTheme="minorHAnsi" w:cs="Calibri"/>
          <w:sz w:val="22"/>
          <w:szCs w:val="22"/>
        </w:rPr>
        <w:t xml:space="preserve">, arrivate ad attestarsi, in </w:t>
      </w:r>
      <w:r w:rsidR="00A730BA">
        <w:rPr>
          <w:rFonts w:asciiTheme="minorHAnsi" w:hAnsiTheme="minorHAnsi" w:cs="Calibri"/>
          <w:sz w:val="22"/>
          <w:szCs w:val="22"/>
        </w:rPr>
        <w:t>media, nell’ordine dei 3-4 mesi</w:t>
      </w:r>
      <w:r w:rsidR="00FD5589">
        <w:rPr>
          <w:rFonts w:asciiTheme="minorHAnsi" w:hAnsiTheme="minorHAnsi" w:cs="Calibri"/>
          <w:sz w:val="22"/>
          <w:szCs w:val="22"/>
        </w:rPr>
        <w:t xml:space="preserve"> nella prima parte dell’anno in corso</w:t>
      </w:r>
      <w:r w:rsidR="00A730BA">
        <w:rPr>
          <w:rFonts w:asciiTheme="minorHAnsi" w:hAnsiTheme="minorHAnsi" w:cs="Calibri"/>
          <w:sz w:val="22"/>
          <w:szCs w:val="22"/>
        </w:rPr>
        <w:t xml:space="preserve">. </w:t>
      </w:r>
      <w:r w:rsidRPr="00EF2F69">
        <w:rPr>
          <w:rFonts w:asciiTheme="minorHAnsi" w:hAnsiTheme="minorHAnsi" w:cs="Calibri"/>
          <w:sz w:val="22"/>
          <w:szCs w:val="22"/>
        </w:rPr>
        <w:t xml:space="preserve">Un altro fattore che ha concorso a ridurre la liquidità degli immobili in vendita è stata la lentezza con cui le aspettative dell’offerta si sono adeguate alle condizioni di mercato, solo in parte compensata dal progressivo ampliamento dello sconto praticato nel corso delle trattative rispetto al prezzo </w:t>
      </w:r>
      <w:r w:rsidR="00AC5889">
        <w:rPr>
          <w:rFonts w:asciiTheme="minorHAnsi" w:hAnsiTheme="minorHAnsi" w:cs="Calibri"/>
          <w:sz w:val="22"/>
          <w:szCs w:val="22"/>
        </w:rPr>
        <w:t>iniziale</w:t>
      </w:r>
      <w:r w:rsidRPr="00EF2F69">
        <w:rPr>
          <w:rFonts w:asciiTheme="minorHAnsi" w:hAnsiTheme="minorHAnsi" w:cs="Calibri"/>
          <w:sz w:val="22"/>
          <w:szCs w:val="22"/>
        </w:rPr>
        <w:t xml:space="preserve"> che ha raggiunto, in media, il 16,5%, con punte del 19,6% nei mercati periferici.</w:t>
      </w:r>
    </w:p>
    <w:p w:rsidR="00EF2F69" w:rsidRPr="00EF2F69" w:rsidRDefault="00EF2F69" w:rsidP="00C61B0B">
      <w:pPr>
        <w:pStyle w:val="Paragrafoelenco1"/>
        <w:tabs>
          <w:tab w:val="left" w:pos="1418"/>
        </w:tabs>
        <w:suppressAutoHyphens/>
        <w:spacing w:before="120"/>
        <w:ind w:left="0"/>
        <w:rPr>
          <w:rFonts w:asciiTheme="minorHAnsi" w:hAnsiTheme="minorHAnsi" w:cs="Calibri"/>
          <w:sz w:val="22"/>
          <w:szCs w:val="22"/>
        </w:rPr>
      </w:pPr>
      <w:r w:rsidRPr="00EF2F69">
        <w:rPr>
          <w:rFonts w:asciiTheme="minorHAnsi" w:hAnsiTheme="minorHAnsi" w:cs="Calibri"/>
          <w:sz w:val="22"/>
          <w:szCs w:val="22"/>
        </w:rPr>
        <w:t>Nel quadro delineato, a consuntivo del primo semestre di quest’anno, i prezzi hanno fatto registrare un nuovo calo, seppure leggermente meno intenso rispetto a quello fatto segnare il primo semestre de</w:t>
      </w:r>
      <w:r w:rsidR="000C1555">
        <w:rPr>
          <w:rFonts w:asciiTheme="minorHAnsi" w:hAnsiTheme="minorHAnsi" w:cs="Calibri"/>
          <w:sz w:val="22"/>
          <w:szCs w:val="22"/>
        </w:rPr>
        <w:t xml:space="preserve">l 2013, pari rispettivamente a </w:t>
      </w:r>
      <w:r w:rsidRPr="00EF2F69">
        <w:rPr>
          <w:rFonts w:asciiTheme="minorHAnsi" w:hAnsiTheme="minorHAnsi" w:cs="Calibri"/>
          <w:sz w:val="22"/>
          <w:szCs w:val="22"/>
        </w:rPr>
        <w:t>- 4,2% per le abitazioni nuove e -4,7% per quelle usate.</w:t>
      </w:r>
    </w:p>
    <w:p w:rsidR="006D3C3D" w:rsidRPr="00EF2F69" w:rsidRDefault="00EF2F69" w:rsidP="00C61B0B">
      <w:pPr>
        <w:pStyle w:val="Paragrafoelenco1"/>
        <w:tabs>
          <w:tab w:val="left" w:pos="1418"/>
        </w:tabs>
        <w:suppressAutoHyphens/>
        <w:spacing w:before="120"/>
        <w:ind w:left="0"/>
        <w:rPr>
          <w:rFonts w:asciiTheme="minorHAnsi" w:hAnsiTheme="minorHAnsi" w:cs="Calibri"/>
          <w:sz w:val="22"/>
          <w:szCs w:val="22"/>
        </w:rPr>
      </w:pPr>
      <w:r w:rsidRPr="00EF2F69">
        <w:rPr>
          <w:rFonts w:asciiTheme="minorHAnsi" w:hAnsiTheme="minorHAnsi" w:cs="Calibri"/>
          <w:sz w:val="22"/>
          <w:szCs w:val="22"/>
        </w:rPr>
        <w:t xml:space="preserve">Alla luce della debolezza della domanda e della selettività con cui il settore bancario continua a gestire l’allocazione verso il settore immobiliare, non può ancora ritenersi completata la fase di </w:t>
      </w:r>
      <w:proofErr w:type="spellStart"/>
      <w:r w:rsidRPr="00EF2F69">
        <w:rPr>
          <w:rFonts w:asciiTheme="minorHAnsi" w:hAnsiTheme="minorHAnsi" w:cs="Calibri"/>
          <w:i/>
          <w:sz w:val="22"/>
          <w:szCs w:val="22"/>
        </w:rPr>
        <w:t>repricing</w:t>
      </w:r>
      <w:proofErr w:type="spellEnd"/>
      <w:r w:rsidRPr="00EF2F69">
        <w:rPr>
          <w:rFonts w:asciiTheme="minorHAnsi" w:hAnsiTheme="minorHAnsi" w:cs="Calibri"/>
          <w:sz w:val="22"/>
          <w:szCs w:val="22"/>
        </w:rPr>
        <w:t xml:space="preserve"> inaugurata nel 2008 che, ad oggi, ha comportato una perdita di valore capitale degli immobili rispetto ai picchi di mercato in valuta corrente nell’ordine del 16-19% a seconda delle tipologie, che sale al 23-26% considerando la modesta dinamica infla</w:t>
      </w:r>
      <w:r w:rsidR="00A730BA">
        <w:rPr>
          <w:rFonts w:asciiTheme="minorHAnsi" w:hAnsiTheme="minorHAnsi" w:cs="Calibri"/>
          <w:sz w:val="22"/>
          <w:szCs w:val="22"/>
        </w:rPr>
        <w:t>t</w:t>
      </w:r>
      <w:r w:rsidRPr="00EF2F69">
        <w:rPr>
          <w:rFonts w:asciiTheme="minorHAnsi" w:hAnsiTheme="minorHAnsi" w:cs="Calibri"/>
          <w:sz w:val="22"/>
          <w:szCs w:val="22"/>
        </w:rPr>
        <w:t>iva registrata nel corso della crisi.</w:t>
      </w:r>
    </w:p>
    <w:p w:rsidR="00AE50F2" w:rsidRDefault="00AE50F2" w:rsidP="007F37E0">
      <w:pPr>
        <w:pStyle w:val="Paragrafoelenco1"/>
        <w:tabs>
          <w:tab w:val="left" w:pos="1418"/>
        </w:tabs>
        <w:suppressAutoHyphens/>
        <w:ind w:left="0"/>
        <w:rPr>
          <w:rFonts w:asciiTheme="minorHAnsi" w:hAnsiTheme="minorHAnsi" w:cs="Calibri"/>
          <w:szCs w:val="24"/>
        </w:rPr>
      </w:pPr>
    </w:p>
    <w:p w:rsidR="00170F64" w:rsidRDefault="00170F64">
      <w:pPr>
        <w:spacing w:after="200" w:line="276" w:lineRule="auto"/>
        <w:jc w:val="left"/>
        <w:rPr>
          <w:rFonts w:asciiTheme="minorHAnsi" w:eastAsia="Calibri" w:hAnsiTheme="minorHAnsi" w:cs="Calibri"/>
          <w:b/>
          <w:sz w:val="28"/>
          <w:szCs w:val="28"/>
        </w:rPr>
      </w:pPr>
      <w:r>
        <w:rPr>
          <w:rFonts w:asciiTheme="minorHAnsi" w:hAnsiTheme="minorHAnsi" w:cs="Calibri"/>
          <w:b/>
          <w:sz w:val="28"/>
          <w:szCs w:val="28"/>
        </w:rPr>
        <w:br w:type="page"/>
      </w:r>
    </w:p>
    <w:p w:rsidR="00F335F2" w:rsidRDefault="00F335F2" w:rsidP="007F37E0">
      <w:pPr>
        <w:pStyle w:val="Paragrafoelenco1"/>
        <w:tabs>
          <w:tab w:val="left" w:pos="1418"/>
        </w:tabs>
        <w:suppressAutoHyphens/>
        <w:ind w:left="0"/>
        <w:rPr>
          <w:rFonts w:asciiTheme="minorHAnsi" w:hAnsiTheme="minorHAnsi" w:cs="Calibri"/>
          <w:b/>
          <w:sz w:val="28"/>
          <w:szCs w:val="28"/>
        </w:rPr>
      </w:pPr>
    </w:p>
    <w:p w:rsidR="00170F64" w:rsidRPr="00170F64" w:rsidRDefault="00170F64" w:rsidP="007F37E0">
      <w:pPr>
        <w:pStyle w:val="Paragrafoelenco1"/>
        <w:tabs>
          <w:tab w:val="left" w:pos="1418"/>
        </w:tabs>
        <w:suppressAutoHyphens/>
        <w:ind w:left="0"/>
        <w:rPr>
          <w:rFonts w:asciiTheme="minorHAnsi" w:hAnsiTheme="minorHAnsi" w:cs="Calibri"/>
          <w:b/>
          <w:sz w:val="28"/>
          <w:szCs w:val="28"/>
        </w:rPr>
      </w:pPr>
      <w:r w:rsidRPr="00170F64">
        <w:rPr>
          <w:rFonts w:asciiTheme="minorHAnsi" w:hAnsiTheme="minorHAnsi" w:cs="Calibri"/>
          <w:b/>
          <w:sz w:val="28"/>
          <w:szCs w:val="28"/>
        </w:rPr>
        <w:t xml:space="preserve">Il mercato delle abitazioni per vacanza </w:t>
      </w:r>
    </w:p>
    <w:p w:rsidR="00170F64" w:rsidRDefault="00170F64" w:rsidP="00364602">
      <w:pPr>
        <w:rPr>
          <w:rFonts w:asciiTheme="minorHAnsi" w:eastAsia="Calibri" w:hAnsiTheme="minorHAnsi" w:cstheme="minorHAnsi"/>
          <w:szCs w:val="24"/>
        </w:rPr>
      </w:pPr>
    </w:p>
    <w:p w:rsidR="00B23B9D" w:rsidRPr="00EF2F69" w:rsidRDefault="00B23B9D" w:rsidP="00B23B9D">
      <w:pPr>
        <w:rPr>
          <w:rFonts w:asciiTheme="minorHAnsi" w:eastAsia="Calibri" w:hAnsiTheme="minorHAnsi" w:cstheme="minorHAnsi"/>
          <w:sz w:val="22"/>
          <w:szCs w:val="22"/>
        </w:rPr>
      </w:pPr>
      <w:r w:rsidRPr="00EF2F69">
        <w:rPr>
          <w:rFonts w:asciiTheme="minorHAnsi" w:eastAsia="Calibri" w:hAnsiTheme="minorHAnsi" w:cstheme="minorHAnsi"/>
          <w:sz w:val="22"/>
          <w:szCs w:val="22"/>
        </w:rPr>
        <w:t xml:space="preserve">Dall'analisi delle compravendite di un campione di </w:t>
      </w:r>
      <w:r w:rsidR="00B41D26">
        <w:rPr>
          <w:rFonts w:asciiTheme="minorHAnsi" w:eastAsia="Calibri" w:hAnsiTheme="minorHAnsi" w:cstheme="minorHAnsi"/>
          <w:sz w:val="22"/>
          <w:szCs w:val="22"/>
        </w:rPr>
        <w:t xml:space="preserve">279 </w:t>
      </w:r>
      <w:r w:rsidRPr="00EF2F69">
        <w:rPr>
          <w:rFonts w:asciiTheme="minorHAnsi" w:eastAsia="Calibri" w:hAnsiTheme="minorHAnsi" w:cstheme="minorHAnsi"/>
          <w:sz w:val="22"/>
          <w:szCs w:val="22"/>
        </w:rPr>
        <w:t>località turistiche monitorate, emergono segnali di attenuazione della tendenza negativa. Dopo il tracollo del 2012 (-26,7%), in corrispondenza della débâcle del mercato immobiliare nazionale, nel 2013 si è registrata una flessione del 9,5%, senza differenze significative tra mare (-9,9%) e montagna (-6,7%).</w:t>
      </w:r>
    </w:p>
    <w:p w:rsidR="00B23B9D" w:rsidRDefault="00B23B9D" w:rsidP="00B23B9D">
      <w:pPr>
        <w:rPr>
          <w:rFonts w:asciiTheme="minorHAnsi" w:eastAsia="Calibri" w:hAnsiTheme="minorHAnsi" w:cstheme="minorHAnsi"/>
          <w:szCs w:val="24"/>
        </w:rPr>
      </w:pPr>
    </w:p>
    <w:tbl>
      <w:tblPr>
        <w:tblStyle w:val="Grigliatabella"/>
        <w:tblpPr w:leftFromText="141" w:rightFromText="141"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B23B9D" w:rsidRPr="00FC7BBB" w:rsidTr="00575691">
        <w:trPr>
          <w:trHeight w:val="340"/>
        </w:trPr>
        <w:tc>
          <w:tcPr>
            <w:tcW w:w="2444" w:type="dxa"/>
            <w:vAlign w:val="center"/>
          </w:tcPr>
          <w:p w:rsidR="00B23B9D" w:rsidRPr="00575691" w:rsidRDefault="00B23B9D" w:rsidP="00575691">
            <w:pPr>
              <w:jc w:val="left"/>
              <w:rPr>
                <w:rFonts w:asciiTheme="minorHAnsi" w:eastAsia="Calibri" w:hAnsiTheme="minorHAnsi" w:cstheme="minorHAnsi"/>
                <w:sz w:val="20"/>
              </w:rPr>
            </w:pPr>
            <w:r w:rsidRPr="00575691">
              <w:rPr>
                <w:rFonts w:asciiTheme="minorHAnsi" w:eastAsia="Calibri" w:hAnsiTheme="minorHAnsi" w:cstheme="minorHAnsi"/>
                <w:caps w:val="0"/>
                <w:sz w:val="20"/>
              </w:rPr>
              <w:t xml:space="preserve">Tavola </w:t>
            </w:r>
            <w:r w:rsidRPr="00575691">
              <w:rPr>
                <w:rFonts w:asciiTheme="minorHAnsi" w:eastAsia="Calibri" w:hAnsiTheme="minorHAnsi" w:cstheme="minorHAnsi"/>
                <w:sz w:val="20"/>
              </w:rPr>
              <w:t>1</w:t>
            </w:r>
          </w:p>
        </w:tc>
        <w:tc>
          <w:tcPr>
            <w:tcW w:w="7334" w:type="dxa"/>
            <w:gridSpan w:val="3"/>
            <w:shd w:val="clear" w:color="auto" w:fill="D9D9D9" w:themeFill="background1" w:themeFillShade="D9"/>
            <w:vAlign w:val="center"/>
          </w:tcPr>
          <w:p w:rsidR="00B23B9D" w:rsidRPr="00575691" w:rsidRDefault="00B23B9D" w:rsidP="00575691">
            <w:pPr>
              <w:jc w:val="center"/>
              <w:rPr>
                <w:rFonts w:asciiTheme="minorHAnsi" w:eastAsia="Calibri" w:hAnsiTheme="minorHAnsi" w:cstheme="minorHAnsi"/>
                <w:caps w:val="0"/>
                <w:sz w:val="20"/>
              </w:rPr>
            </w:pPr>
            <w:r w:rsidRPr="00575691">
              <w:rPr>
                <w:rFonts w:ascii="Calibri" w:hAnsi="Calibri" w:cs="Arial"/>
                <w:caps w:val="0"/>
                <w:sz w:val="20"/>
              </w:rPr>
              <w:t>Numero di compravendite di abitazioni – Variazioni % annuali</w:t>
            </w:r>
          </w:p>
        </w:tc>
      </w:tr>
      <w:tr w:rsidR="00B23B9D" w:rsidRPr="00FC7BBB" w:rsidTr="00575691">
        <w:trPr>
          <w:trHeight w:val="340"/>
        </w:trPr>
        <w:tc>
          <w:tcPr>
            <w:tcW w:w="2444" w:type="dxa"/>
            <w:vAlign w:val="center"/>
          </w:tcPr>
          <w:p w:rsidR="00B23B9D" w:rsidRPr="002D78BD" w:rsidRDefault="00B23B9D" w:rsidP="00575691">
            <w:pPr>
              <w:jc w:val="left"/>
              <w:rPr>
                <w:rFonts w:asciiTheme="minorHAnsi" w:eastAsia="Calibri" w:hAnsiTheme="minorHAnsi" w:cstheme="minorHAnsi"/>
                <w:b w:val="0"/>
                <w:sz w:val="20"/>
              </w:rPr>
            </w:pPr>
          </w:p>
        </w:tc>
        <w:tc>
          <w:tcPr>
            <w:tcW w:w="2444" w:type="dxa"/>
            <w:shd w:val="clear" w:color="auto" w:fill="F2F2F2" w:themeFill="background1" w:themeFillShade="F2"/>
            <w:vAlign w:val="center"/>
          </w:tcPr>
          <w:p w:rsidR="00B23B9D" w:rsidRPr="002D78BD" w:rsidRDefault="00B23B9D" w:rsidP="00575691">
            <w:pPr>
              <w:jc w:val="center"/>
              <w:rPr>
                <w:rFonts w:asciiTheme="minorHAnsi" w:eastAsia="Calibri" w:hAnsiTheme="minorHAnsi" w:cstheme="minorHAnsi"/>
                <w:sz w:val="20"/>
              </w:rPr>
            </w:pPr>
            <w:r w:rsidRPr="002D78BD">
              <w:rPr>
                <w:rFonts w:ascii="Calibri" w:hAnsi="Calibri" w:cs="Arial"/>
                <w:color w:val="000000"/>
                <w:sz w:val="20"/>
              </w:rPr>
              <w:t>2011/2010</w:t>
            </w:r>
          </w:p>
        </w:tc>
        <w:tc>
          <w:tcPr>
            <w:tcW w:w="2445" w:type="dxa"/>
            <w:shd w:val="clear" w:color="auto" w:fill="F2F2F2" w:themeFill="background1" w:themeFillShade="F2"/>
            <w:vAlign w:val="center"/>
          </w:tcPr>
          <w:p w:rsidR="00B23B9D" w:rsidRPr="002D78BD" w:rsidRDefault="00B23B9D" w:rsidP="00575691">
            <w:pPr>
              <w:jc w:val="center"/>
              <w:rPr>
                <w:rFonts w:ascii="Calibri" w:hAnsi="Calibri" w:cs="Arial"/>
                <w:color w:val="000000"/>
                <w:sz w:val="20"/>
              </w:rPr>
            </w:pPr>
            <w:r w:rsidRPr="002D78BD">
              <w:rPr>
                <w:rFonts w:ascii="Calibri" w:hAnsi="Calibri" w:cs="Arial"/>
                <w:color w:val="000000"/>
                <w:sz w:val="20"/>
              </w:rPr>
              <w:t>2012/2011</w:t>
            </w:r>
          </w:p>
        </w:tc>
        <w:tc>
          <w:tcPr>
            <w:tcW w:w="2445" w:type="dxa"/>
            <w:shd w:val="clear" w:color="auto" w:fill="F2F2F2" w:themeFill="background1" w:themeFillShade="F2"/>
            <w:vAlign w:val="center"/>
          </w:tcPr>
          <w:p w:rsidR="00B23B9D" w:rsidRPr="002D78BD" w:rsidRDefault="00B23B9D" w:rsidP="00575691">
            <w:pPr>
              <w:jc w:val="center"/>
              <w:rPr>
                <w:rFonts w:ascii="Calibri" w:hAnsi="Calibri" w:cs="Arial"/>
                <w:color w:val="000000"/>
                <w:sz w:val="20"/>
              </w:rPr>
            </w:pPr>
            <w:r w:rsidRPr="002D78BD">
              <w:rPr>
                <w:rFonts w:ascii="Calibri" w:hAnsi="Calibri" w:cs="Arial"/>
                <w:color w:val="000000"/>
                <w:sz w:val="20"/>
              </w:rPr>
              <w:t>2013/2012</w:t>
            </w:r>
          </w:p>
        </w:tc>
      </w:tr>
      <w:tr w:rsidR="00B23B9D" w:rsidRPr="00FC7BBB" w:rsidTr="00575691">
        <w:trPr>
          <w:trHeight w:val="340"/>
        </w:trPr>
        <w:tc>
          <w:tcPr>
            <w:tcW w:w="2444" w:type="dxa"/>
            <w:shd w:val="clear" w:color="auto" w:fill="DBE5F1" w:themeFill="accent1" w:themeFillTint="33"/>
            <w:vAlign w:val="center"/>
          </w:tcPr>
          <w:p w:rsidR="00B23B9D" w:rsidRPr="002D78BD" w:rsidRDefault="00B23B9D" w:rsidP="00575691">
            <w:pPr>
              <w:jc w:val="left"/>
              <w:rPr>
                <w:rFonts w:asciiTheme="minorHAnsi" w:eastAsia="Calibri" w:hAnsiTheme="minorHAnsi" w:cstheme="minorHAnsi"/>
                <w:sz w:val="20"/>
              </w:rPr>
            </w:pPr>
            <w:r w:rsidRPr="002D78BD">
              <w:rPr>
                <w:rFonts w:asciiTheme="minorHAnsi" w:eastAsia="Calibri" w:hAnsiTheme="minorHAnsi" w:cstheme="minorHAnsi"/>
                <w:caps w:val="0"/>
                <w:sz w:val="20"/>
              </w:rPr>
              <w:t>Località marine</w:t>
            </w:r>
          </w:p>
        </w:tc>
        <w:tc>
          <w:tcPr>
            <w:tcW w:w="2444"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-3,0</w:t>
            </w:r>
          </w:p>
        </w:tc>
        <w:tc>
          <w:tcPr>
            <w:tcW w:w="2445"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-27,3</w:t>
            </w:r>
          </w:p>
        </w:tc>
        <w:tc>
          <w:tcPr>
            <w:tcW w:w="2445"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-9,9</w:t>
            </w:r>
          </w:p>
        </w:tc>
      </w:tr>
      <w:tr w:rsidR="00B23B9D" w:rsidRPr="00FC7BBB" w:rsidTr="00575691">
        <w:trPr>
          <w:trHeight w:val="340"/>
        </w:trPr>
        <w:tc>
          <w:tcPr>
            <w:tcW w:w="2444" w:type="dxa"/>
            <w:shd w:val="clear" w:color="auto" w:fill="DBE5F1" w:themeFill="accent1" w:themeFillTint="33"/>
            <w:vAlign w:val="center"/>
          </w:tcPr>
          <w:p w:rsidR="00B23B9D" w:rsidRPr="002D78BD" w:rsidRDefault="00B23B9D" w:rsidP="00575691">
            <w:pPr>
              <w:jc w:val="left"/>
              <w:rPr>
                <w:rFonts w:asciiTheme="minorHAnsi" w:eastAsia="Calibri" w:hAnsiTheme="minorHAnsi" w:cstheme="minorHAnsi"/>
                <w:sz w:val="20"/>
              </w:rPr>
            </w:pPr>
            <w:r w:rsidRPr="002D78BD">
              <w:rPr>
                <w:rFonts w:asciiTheme="minorHAnsi" w:eastAsia="Calibri" w:hAnsiTheme="minorHAnsi" w:cstheme="minorHAnsi"/>
                <w:caps w:val="0"/>
                <w:sz w:val="20"/>
              </w:rPr>
              <w:t>Località montane</w:t>
            </w:r>
          </w:p>
        </w:tc>
        <w:tc>
          <w:tcPr>
            <w:tcW w:w="2444"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-6,9</w:t>
            </w:r>
          </w:p>
        </w:tc>
        <w:tc>
          <w:tcPr>
            <w:tcW w:w="2445"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-24,9</w:t>
            </w:r>
          </w:p>
        </w:tc>
        <w:tc>
          <w:tcPr>
            <w:tcW w:w="2445" w:type="dxa"/>
            <w:shd w:val="clear" w:color="auto" w:fill="DBE5F1" w:themeFill="accent1" w:themeFillTint="33"/>
            <w:vAlign w:val="center"/>
          </w:tcPr>
          <w:p w:rsidR="00B23B9D" w:rsidRPr="002D78BD" w:rsidRDefault="00B23B9D" w:rsidP="00575691">
            <w:pPr>
              <w:jc w:val="center"/>
              <w:rPr>
                <w:rFonts w:ascii="Calibri" w:hAnsi="Calibri" w:cs="Arial"/>
                <w:b w:val="0"/>
                <w:color w:val="000000"/>
                <w:sz w:val="20"/>
              </w:rPr>
            </w:pPr>
            <w:r w:rsidRPr="002D78BD">
              <w:rPr>
                <w:rFonts w:ascii="Calibri" w:hAnsi="Calibri" w:cs="Arial"/>
                <w:b w:val="0"/>
                <w:color w:val="000000"/>
                <w:sz w:val="20"/>
              </w:rPr>
              <w:t>-6,7</w:t>
            </w:r>
          </w:p>
        </w:tc>
      </w:tr>
    </w:tbl>
    <w:p w:rsidR="00B23B9D" w:rsidRPr="008D7331" w:rsidRDefault="00B23B9D" w:rsidP="008D7331">
      <w:pPr>
        <w:spacing w:before="60"/>
        <w:rPr>
          <w:rFonts w:asciiTheme="minorHAnsi" w:eastAsia="Calibri" w:hAnsiTheme="minorHAnsi" w:cstheme="minorHAnsi"/>
          <w:sz w:val="18"/>
        </w:rPr>
      </w:pPr>
      <w:r w:rsidRPr="00AC5889">
        <w:rPr>
          <w:rFonts w:asciiTheme="minorHAnsi" w:eastAsia="Calibri" w:hAnsiTheme="minorHAnsi" w:cstheme="minorHAnsi"/>
          <w:sz w:val="18"/>
        </w:rPr>
        <w:t xml:space="preserve">Fonte: </w:t>
      </w:r>
      <w:r w:rsidR="008D7331" w:rsidRPr="00AC5889">
        <w:rPr>
          <w:rFonts w:asciiTheme="minorHAnsi" w:eastAsia="Calibri" w:hAnsiTheme="minorHAnsi" w:cstheme="minorHAnsi"/>
          <w:sz w:val="18"/>
        </w:rPr>
        <w:t xml:space="preserve">elaborazioni </w:t>
      </w:r>
      <w:r w:rsidRPr="00AC5889">
        <w:rPr>
          <w:rFonts w:asciiTheme="minorHAnsi" w:eastAsia="Calibri" w:hAnsiTheme="minorHAnsi" w:cstheme="minorHAnsi"/>
          <w:sz w:val="18"/>
        </w:rPr>
        <w:t xml:space="preserve">Nomisma </w:t>
      </w:r>
      <w:r w:rsidR="00CB214E" w:rsidRPr="00AC5889">
        <w:rPr>
          <w:rFonts w:asciiTheme="minorHAnsi" w:eastAsia="Calibri" w:hAnsiTheme="minorHAnsi" w:cstheme="minorHAnsi"/>
          <w:sz w:val="18"/>
        </w:rPr>
        <w:t xml:space="preserve">e </w:t>
      </w:r>
      <w:proofErr w:type="spellStart"/>
      <w:r w:rsidR="00CB214E" w:rsidRPr="00AC5889">
        <w:rPr>
          <w:rFonts w:asciiTheme="minorHAnsi" w:eastAsia="Calibri" w:hAnsiTheme="minorHAnsi" w:cstheme="minorHAnsi"/>
          <w:sz w:val="18"/>
        </w:rPr>
        <w:t>Fi</w:t>
      </w:r>
      <w:r w:rsidR="008D7331" w:rsidRPr="00AC5889">
        <w:rPr>
          <w:rFonts w:asciiTheme="minorHAnsi" w:eastAsia="Calibri" w:hAnsiTheme="minorHAnsi" w:cstheme="minorHAnsi"/>
          <w:sz w:val="18"/>
        </w:rPr>
        <w:t>m</w:t>
      </w:r>
      <w:r w:rsidR="00CB214E" w:rsidRPr="00AC5889">
        <w:rPr>
          <w:rFonts w:asciiTheme="minorHAnsi" w:eastAsia="Calibri" w:hAnsiTheme="minorHAnsi" w:cstheme="minorHAnsi"/>
          <w:sz w:val="18"/>
        </w:rPr>
        <w:t>a</w:t>
      </w:r>
      <w:r w:rsidR="008D7331" w:rsidRPr="00AC5889">
        <w:rPr>
          <w:rFonts w:asciiTheme="minorHAnsi" w:eastAsia="Calibri" w:hAnsiTheme="minorHAnsi" w:cstheme="minorHAnsi"/>
          <w:sz w:val="18"/>
        </w:rPr>
        <w:t>a</w:t>
      </w:r>
      <w:proofErr w:type="spellEnd"/>
      <w:r w:rsidR="00AC5889">
        <w:rPr>
          <w:rFonts w:asciiTheme="minorHAnsi" w:eastAsia="Calibri" w:hAnsiTheme="minorHAnsi" w:cstheme="minorHAnsi"/>
          <w:sz w:val="18"/>
        </w:rPr>
        <w:t>-Confcommercio</w:t>
      </w:r>
      <w:r w:rsidR="00CB214E" w:rsidRPr="00AC5889">
        <w:rPr>
          <w:rFonts w:asciiTheme="minorHAnsi" w:eastAsia="Calibri" w:hAnsiTheme="minorHAnsi" w:cstheme="minorHAnsi"/>
          <w:sz w:val="18"/>
        </w:rPr>
        <w:t xml:space="preserve"> </w:t>
      </w:r>
      <w:r w:rsidRPr="00AC5889">
        <w:rPr>
          <w:rFonts w:asciiTheme="minorHAnsi" w:eastAsia="Calibri" w:hAnsiTheme="minorHAnsi" w:cstheme="minorHAnsi"/>
          <w:sz w:val="18"/>
        </w:rPr>
        <w:t>su dati Agenzia delle Entrate</w:t>
      </w:r>
    </w:p>
    <w:p w:rsidR="00B23B9D" w:rsidRDefault="00B23B9D" w:rsidP="00B23B9D">
      <w:pPr>
        <w:rPr>
          <w:rFonts w:asciiTheme="minorHAnsi" w:eastAsia="Calibri" w:hAnsiTheme="minorHAnsi" w:cstheme="minorHAnsi"/>
          <w:szCs w:val="24"/>
        </w:rPr>
      </w:pPr>
    </w:p>
    <w:p w:rsidR="00B23B9D" w:rsidRPr="00EF2F69" w:rsidRDefault="00B23B9D" w:rsidP="00B23B9D">
      <w:pPr>
        <w:rPr>
          <w:rFonts w:asciiTheme="minorHAnsi" w:eastAsia="Calibri" w:hAnsiTheme="minorHAnsi" w:cstheme="minorHAnsi"/>
          <w:sz w:val="22"/>
          <w:szCs w:val="22"/>
        </w:rPr>
      </w:pPr>
      <w:r w:rsidRPr="00EF2F69">
        <w:rPr>
          <w:rFonts w:asciiTheme="minorHAnsi" w:eastAsia="Calibri" w:hAnsiTheme="minorHAnsi" w:cstheme="minorHAnsi"/>
          <w:sz w:val="22"/>
          <w:szCs w:val="22"/>
        </w:rPr>
        <w:t>Ad incidere negativamente sulle transazioni nel settore immobiliare turistico, oltre alla debolezza delle prospettive economiche e di settore, continuano ad essere la perdurante selettività del sistema creditizio (nel 2013 i mutui erogati a livello nazionale non sono andati oltre i 21,504 miliardi di euro, vale a dire circa un terzo delle erogazioni concesse nel 2006) e la crescente gravosità del carico fiscale.</w:t>
      </w:r>
    </w:p>
    <w:p w:rsidR="00B23B9D" w:rsidRPr="00EF2F69" w:rsidRDefault="00B23B9D" w:rsidP="00B23B9D">
      <w:pPr>
        <w:rPr>
          <w:rFonts w:asciiTheme="minorHAnsi" w:eastAsia="Calibri" w:hAnsiTheme="minorHAnsi" w:cstheme="minorHAnsi"/>
          <w:sz w:val="22"/>
          <w:szCs w:val="22"/>
        </w:rPr>
      </w:pPr>
      <w:r w:rsidRPr="00EF2F69">
        <w:rPr>
          <w:rFonts w:asciiTheme="minorHAnsi" w:eastAsia="Calibri" w:hAnsiTheme="minorHAnsi" w:cstheme="minorHAnsi"/>
          <w:sz w:val="22"/>
          <w:szCs w:val="22"/>
        </w:rPr>
        <w:t>Al peso della fiscalità diretta si aggiunge, specie per le località turistiche di maggiore pregio, il timore di accertamenti e verifiche riconducibili alla capacità segnaletica di ricchezza associata agli immobili, da porre alla base di talune iniziative di disinvestimento. Tali fattori hanno esercitato un'ulteriore pressione ribassista sui prezzi, i cui margini di ridimensionamento, alla luce della fragilità del contesto, non possono ancora dirsi del tutto esauriti.</w:t>
      </w:r>
    </w:p>
    <w:p w:rsidR="00B23B9D" w:rsidRPr="00EF2F69" w:rsidRDefault="00B23B9D" w:rsidP="00364602">
      <w:pPr>
        <w:rPr>
          <w:rFonts w:asciiTheme="minorHAnsi" w:eastAsia="Calibri" w:hAnsiTheme="minorHAnsi" w:cstheme="minorHAnsi"/>
          <w:sz w:val="22"/>
          <w:szCs w:val="22"/>
        </w:rPr>
      </w:pPr>
    </w:p>
    <w:p w:rsidR="006D3C3D" w:rsidRPr="00EF2F69" w:rsidRDefault="00B23B9D"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A questo proposito i</w:t>
      </w:r>
      <w:r w:rsidR="00730030" w:rsidRPr="00EF2F69">
        <w:rPr>
          <w:rFonts w:asciiTheme="minorHAnsi" w:eastAsia="Calibri" w:hAnsiTheme="minorHAnsi" w:cstheme="minorHAnsi"/>
          <w:sz w:val="22"/>
          <w:szCs w:val="22"/>
        </w:rPr>
        <w:t>l segmento turistico, delle case per vacanza, è stato investito da una riduzione de</w:t>
      </w:r>
      <w:r w:rsidR="000D69E5" w:rsidRPr="00EF2F69">
        <w:rPr>
          <w:rFonts w:asciiTheme="minorHAnsi" w:eastAsia="Calibri" w:hAnsiTheme="minorHAnsi" w:cstheme="minorHAnsi"/>
          <w:sz w:val="22"/>
          <w:szCs w:val="22"/>
        </w:rPr>
        <w:t>i</w:t>
      </w:r>
      <w:r w:rsidR="00730030" w:rsidRPr="00EF2F69">
        <w:rPr>
          <w:rFonts w:asciiTheme="minorHAnsi" w:eastAsia="Calibri" w:hAnsiTheme="minorHAnsi" w:cstheme="minorHAnsi"/>
          <w:sz w:val="22"/>
          <w:szCs w:val="22"/>
        </w:rPr>
        <w:t xml:space="preserve"> prezzi di vendita </w:t>
      </w:r>
      <w:r w:rsidR="00F63B06" w:rsidRPr="00EF2F69">
        <w:rPr>
          <w:rFonts w:asciiTheme="minorHAnsi" w:eastAsia="Calibri" w:hAnsiTheme="minorHAnsi" w:cstheme="minorHAnsi"/>
          <w:sz w:val="22"/>
          <w:szCs w:val="22"/>
        </w:rPr>
        <w:t xml:space="preserve">leggermente </w:t>
      </w:r>
      <w:r w:rsidR="00730030" w:rsidRPr="00EF2F69">
        <w:rPr>
          <w:rFonts w:asciiTheme="minorHAnsi" w:eastAsia="Calibri" w:hAnsiTheme="minorHAnsi" w:cstheme="minorHAnsi"/>
          <w:sz w:val="22"/>
          <w:szCs w:val="22"/>
        </w:rPr>
        <w:t xml:space="preserve">più elevata rispetto alla flessione media registrata </w:t>
      </w:r>
      <w:r w:rsidR="00F63B06" w:rsidRPr="00EF2F69">
        <w:rPr>
          <w:rFonts w:asciiTheme="minorHAnsi" w:eastAsia="Calibri" w:hAnsiTheme="minorHAnsi" w:cstheme="minorHAnsi"/>
          <w:sz w:val="22"/>
          <w:szCs w:val="22"/>
        </w:rPr>
        <w:t xml:space="preserve">dal settore </w:t>
      </w:r>
      <w:r w:rsidR="00730030" w:rsidRPr="00EF2F69">
        <w:rPr>
          <w:rFonts w:asciiTheme="minorHAnsi" w:eastAsia="Calibri" w:hAnsiTheme="minorHAnsi" w:cstheme="minorHAnsi"/>
          <w:sz w:val="22"/>
          <w:szCs w:val="22"/>
        </w:rPr>
        <w:t>a livello nazionale.</w:t>
      </w:r>
    </w:p>
    <w:p w:rsidR="00730030" w:rsidRPr="00EF2F69" w:rsidRDefault="00730030"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Il dato medio, sintesi dei mercati top, centrali e periferici delle singole località turistiche monitorate, segna un -</w:t>
      </w:r>
      <w:r w:rsidR="007B44FF" w:rsidRPr="00EF2F69">
        <w:rPr>
          <w:rFonts w:asciiTheme="minorHAnsi" w:eastAsia="Calibri" w:hAnsiTheme="minorHAnsi" w:cstheme="minorHAnsi"/>
          <w:sz w:val="22"/>
          <w:szCs w:val="22"/>
        </w:rPr>
        <w:t>5,1</w:t>
      </w:r>
      <w:r w:rsidRPr="00EF2F69">
        <w:rPr>
          <w:rFonts w:asciiTheme="minorHAnsi" w:eastAsia="Calibri" w:hAnsiTheme="minorHAnsi" w:cstheme="minorHAnsi"/>
          <w:sz w:val="22"/>
          <w:szCs w:val="22"/>
        </w:rPr>
        <w:t>% annuo, con un campo di oscillazione</w:t>
      </w:r>
      <w:r w:rsidR="00E22790"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in funzione della tipologia abitativa</w:t>
      </w:r>
      <w:r w:rsidR="00E22790"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compreso tra -</w:t>
      </w:r>
      <w:r w:rsidR="007B44FF" w:rsidRPr="00EF2F69">
        <w:rPr>
          <w:rFonts w:asciiTheme="minorHAnsi" w:eastAsia="Calibri" w:hAnsiTheme="minorHAnsi" w:cstheme="minorHAnsi"/>
          <w:sz w:val="22"/>
          <w:szCs w:val="22"/>
        </w:rPr>
        <w:t>3,</w:t>
      </w:r>
      <w:r w:rsidRPr="00EF2F69">
        <w:rPr>
          <w:rFonts w:asciiTheme="minorHAnsi" w:eastAsia="Calibri" w:hAnsiTheme="minorHAnsi" w:cstheme="minorHAnsi"/>
          <w:sz w:val="22"/>
          <w:szCs w:val="22"/>
        </w:rPr>
        <w:t>5%</w:t>
      </w:r>
      <w:r w:rsidR="007B44FF" w:rsidRPr="00EF2F69">
        <w:rPr>
          <w:rFonts w:asciiTheme="minorHAnsi" w:eastAsia="Calibri" w:hAnsiTheme="minorHAnsi" w:cstheme="minorHAnsi"/>
          <w:sz w:val="22"/>
          <w:szCs w:val="22"/>
        </w:rPr>
        <w:t xml:space="preserve"> e </w:t>
      </w:r>
      <w:r w:rsidRPr="00EF2F69">
        <w:rPr>
          <w:rFonts w:asciiTheme="minorHAnsi" w:eastAsia="Calibri" w:hAnsiTheme="minorHAnsi" w:cstheme="minorHAnsi"/>
          <w:sz w:val="22"/>
          <w:szCs w:val="22"/>
        </w:rPr>
        <w:t>-</w:t>
      </w:r>
      <w:r w:rsidR="007B44FF" w:rsidRPr="00EF2F69">
        <w:rPr>
          <w:rFonts w:asciiTheme="minorHAnsi" w:eastAsia="Calibri" w:hAnsiTheme="minorHAnsi" w:cstheme="minorHAnsi"/>
          <w:sz w:val="22"/>
          <w:szCs w:val="22"/>
        </w:rPr>
        <w:t>6,9</w:t>
      </w:r>
      <w:r w:rsidRPr="00EF2F69">
        <w:rPr>
          <w:rFonts w:asciiTheme="minorHAnsi" w:eastAsia="Calibri" w:hAnsiTheme="minorHAnsi" w:cstheme="minorHAnsi"/>
          <w:sz w:val="22"/>
          <w:szCs w:val="22"/>
        </w:rPr>
        <w:t>%.</w:t>
      </w:r>
    </w:p>
    <w:p w:rsidR="003678A4" w:rsidRPr="00EF2F69" w:rsidRDefault="003678A4" w:rsidP="00364602">
      <w:pPr>
        <w:rPr>
          <w:rFonts w:asciiTheme="minorHAnsi" w:eastAsia="Calibri" w:hAnsiTheme="minorHAnsi" w:cstheme="minorHAnsi"/>
          <w:sz w:val="22"/>
          <w:szCs w:val="22"/>
        </w:rPr>
      </w:pPr>
    </w:p>
    <w:p w:rsidR="00F63B06" w:rsidRPr="00EF2F69" w:rsidRDefault="003678A4" w:rsidP="008D7331">
      <w:pPr>
        <w:spacing w:after="120"/>
        <w:rPr>
          <w:rFonts w:asciiTheme="minorHAnsi" w:eastAsia="Calibri" w:hAnsiTheme="minorHAnsi" w:cstheme="minorHAnsi"/>
          <w:sz w:val="22"/>
          <w:szCs w:val="22"/>
        </w:rPr>
      </w:pPr>
      <w:r w:rsidRPr="00EF2F69">
        <w:rPr>
          <w:rFonts w:asciiTheme="minorHAnsi" w:eastAsia="Calibri" w:hAnsiTheme="minorHAnsi" w:cstheme="minorHAnsi"/>
          <w:sz w:val="22"/>
          <w:szCs w:val="22"/>
        </w:rPr>
        <w:t>La variabilità della flessione dei prezzi in rapporto alla localizzazione è</w:t>
      </w:r>
      <w:r w:rsidR="005013C2" w:rsidRPr="00EF2F69">
        <w:rPr>
          <w:rFonts w:asciiTheme="minorHAnsi" w:eastAsia="Calibri" w:hAnsiTheme="minorHAnsi" w:cstheme="minorHAnsi"/>
          <w:sz w:val="22"/>
          <w:szCs w:val="22"/>
        </w:rPr>
        <w:t xml:space="preserve"> espressa</w:t>
      </w:r>
      <w:r w:rsidRPr="00EF2F69">
        <w:rPr>
          <w:rFonts w:asciiTheme="minorHAnsi" w:eastAsia="Calibri" w:hAnsiTheme="minorHAnsi" w:cstheme="minorHAnsi"/>
          <w:sz w:val="22"/>
          <w:szCs w:val="22"/>
        </w:rPr>
        <w:t xml:space="preserve"> da questa scala</w:t>
      </w:r>
      <w:r w:rsidR="00F63B06"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dove sono posizionate le regioni </w:t>
      </w:r>
      <w:r w:rsidR="00F63B06" w:rsidRPr="00EF2F69">
        <w:rPr>
          <w:rFonts w:asciiTheme="minorHAnsi" w:eastAsia="Calibri" w:hAnsiTheme="minorHAnsi" w:cstheme="minorHAnsi"/>
          <w:sz w:val="22"/>
          <w:szCs w:val="22"/>
        </w:rPr>
        <w:t>le cui località turistiche sono state oggetto di monitoraggio:</w:t>
      </w:r>
    </w:p>
    <w:tbl>
      <w:tblPr>
        <w:tblW w:w="9581" w:type="dxa"/>
        <w:tblInd w:w="55" w:type="dxa"/>
        <w:tblCellMar>
          <w:left w:w="70" w:type="dxa"/>
          <w:right w:w="70" w:type="dxa"/>
        </w:tblCellMar>
        <w:tblLook w:val="04A0" w:firstRow="1" w:lastRow="0" w:firstColumn="1" w:lastColumn="0" w:noHBand="0" w:noVBand="1"/>
      </w:tblPr>
      <w:tblGrid>
        <w:gridCol w:w="822"/>
        <w:gridCol w:w="907"/>
        <w:gridCol w:w="822"/>
        <w:gridCol w:w="1191"/>
        <w:gridCol w:w="794"/>
        <w:gridCol w:w="1020"/>
        <w:gridCol w:w="737"/>
        <w:gridCol w:w="737"/>
        <w:gridCol w:w="1020"/>
        <w:gridCol w:w="737"/>
        <w:gridCol w:w="794"/>
      </w:tblGrid>
      <w:tr w:rsidR="0050454B" w:rsidRPr="0050454B" w:rsidTr="0050454B">
        <w:trPr>
          <w:trHeight w:val="408"/>
        </w:trPr>
        <w:tc>
          <w:tcPr>
            <w:tcW w:w="82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-8%</w:t>
            </w:r>
          </w:p>
        </w:tc>
        <w:tc>
          <w:tcPr>
            <w:tcW w:w="907" w:type="dxa"/>
            <w:tcBorders>
              <w:top w:val="single" w:sz="4" w:space="0" w:color="auto"/>
              <w:left w:val="nil"/>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-7%</w:t>
            </w:r>
          </w:p>
        </w:tc>
        <w:tc>
          <w:tcPr>
            <w:tcW w:w="822" w:type="dxa"/>
            <w:tcBorders>
              <w:top w:val="single" w:sz="4" w:space="0" w:color="auto"/>
              <w:left w:val="nil"/>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-6%</w:t>
            </w:r>
          </w:p>
        </w:tc>
        <w:tc>
          <w:tcPr>
            <w:tcW w:w="1191" w:type="dxa"/>
            <w:tcBorders>
              <w:top w:val="single" w:sz="4" w:space="0" w:color="auto"/>
              <w:left w:val="nil"/>
              <w:bottom w:val="single" w:sz="4" w:space="0" w:color="auto"/>
              <w:right w:val="nil"/>
            </w:tcBorders>
            <w:shd w:val="clear" w:color="000000" w:fill="366092"/>
            <w:vAlign w:val="center"/>
            <w:hideMark/>
          </w:tcPr>
          <w:p w:rsidR="0050454B" w:rsidRPr="0050454B" w:rsidRDefault="0050454B" w:rsidP="0050454B">
            <w:pPr>
              <w:jc w:val="center"/>
              <w:rPr>
                <w:rFonts w:ascii="Calibri" w:hAnsi="Calibri" w:cs="Arial"/>
                <w:b/>
                <w:bCs/>
                <w:color w:val="FFFFFF"/>
                <w:sz w:val="16"/>
                <w:szCs w:val="16"/>
              </w:rPr>
            </w:pPr>
            <w:r w:rsidRPr="0050454B">
              <w:rPr>
                <w:rFonts w:ascii="Calibri" w:hAnsi="Calibri" w:cs="Arial"/>
                <w:b/>
                <w:bCs/>
                <w:color w:val="FFFFFF"/>
                <w:sz w:val="16"/>
                <w:szCs w:val="16"/>
              </w:rPr>
              <w:t>Media località turistiche: -5%</w:t>
            </w:r>
          </w:p>
        </w:tc>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-4%</w:t>
            </w:r>
          </w:p>
        </w:tc>
        <w:tc>
          <w:tcPr>
            <w:tcW w:w="1020" w:type="dxa"/>
            <w:tcBorders>
              <w:top w:val="single" w:sz="4" w:space="0" w:color="auto"/>
              <w:left w:val="nil"/>
              <w:bottom w:val="single" w:sz="4" w:space="0" w:color="auto"/>
              <w:right w:val="nil"/>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-2%</w:t>
            </w:r>
          </w:p>
        </w:tc>
        <w:tc>
          <w:tcPr>
            <w:tcW w:w="737" w:type="dxa"/>
            <w:tcBorders>
              <w:top w:val="single" w:sz="4" w:space="0" w:color="auto"/>
              <w:left w:val="nil"/>
              <w:bottom w:val="single" w:sz="4" w:space="0" w:color="auto"/>
              <w:right w:val="nil"/>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0%</w:t>
            </w:r>
          </w:p>
        </w:tc>
        <w:tc>
          <w:tcPr>
            <w:tcW w:w="737" w:type="dxa"/>
            <w:tcBorders>
              <w:top w:val="single" w:sz="4" w:space="0" w:color="auto"/>
              <w:left w:val="nil"/>
              <w:bottom w:val="single" w:sz="4" w:space="0" w:color="auto"/>
              <w:right w:val="nil"/>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0454B" w:rsidRPr="0050454B" w:rsidRDefault="0050454B" w:rsidP="0050454B">
            <w:pPr>
              <w:jc w:val="center"/>
              <w:rPr>
                <w:rFonts w:ascii="Calibri" w:hAnsi="Calibri" w:cs="Arial"/>
                <w:b/>
                <w:bCs/>
                <w:color w:val="000000"/>
                <w:sz w:val="16"/>
                <w:szCs w:val="16"/>
              </w:rPr>
            </w:pPr>
            <w:r w:rsidRPr="0050454B">
              <w:rPr>
                <w:rFonts w:ascii="Calibri" w:hAnsi="Calibri" w:cs="Arial"/>
                <w:b/>
                <w:bCs/>
                <w:color w:val="000000"/>
                <w:sz w:val="16"/>
                <w:szCs w:val="16"/>
              </w:rPr>
              <w:t>+2%</w:t>
            </w:r>
          </w:p>
        </w:tc>
      </w:tr>
      <w:tr w:rsidR="0050454B" w:rsidRPr="0050454B" w:rsidTr="0050454B">
        <w:trPr>
          <w:trHeight w:val="264"/>
        </w:trPr>
        <w:tc>
          <w:tcPr>
            <w:tcW w:w="822" w:type="dxa"/>
            <w:tcBorders>
              <w:top w:val="nil"/>
              <w:left w:val="single" w:sz="4" w:space="0" w:color="auto"/>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Liguria</w:t>
            </w:r>
          </w:p>
        </w:tc>
        <w:tc>
          <w:tcPr>
            <w:tcW w:w="90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Piemonte</w:t>
            </w:r>
          </w:p>
        </w:tc>
        <w:tc>
          <w:tcPr>
            <w:tcW w:w="822"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Friuli V.G.</w:t>
            </w:r>
          </w:p>
        </w:tc>
        <w:tc>
          <w:tcPr>
            <w:tcW w:w="1191"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Campania</w:t>
            </w:r>
          </w:p>
        </w:tc>
        <w:tc>
          <w:tcPr>
            <w:tcW w:w="794"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Lazio</w:t>
            </w:r>
          </w:p>
        </w:tc>
        <w:tc>
          <w:tcPr>
            <w:tcW w:w="1020"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Pr>
                <w:rFonts w:ascii="Calibri" w:hAnsi="Calibri" w:cs="Arial"/>
                <w:color w:val="000000"/>
                <w:sz w:val="16"/>
                <w:szCs w:val="16"/>
              </w:rPr>
              <w:t>Trentino A.A.</w:t>
            </w:r>
          </w:p>
        </w:tc>
        <w:tc>
          <w:tcPr>
            <w:tcW w:w="737"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Valle d'Aosta</w:t>
            </w: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Basilicata</w:t>
            </w:r>
          </w:p>
        </w:tc>
      </w:tr>
      <w:tr w:rsidR="0050454B" w:rsidRPr="0050454B" w:rsidTr="0050454B">
        <w:trPr>
          <w:trHeight w:val="264"/>
        </w:trPr>
        <w:tc>
          <w:tcPr>
            <w:tcW w:w="822" w:type="dxa"/>
            <w:tcBorders>
              <w:top w:val="nil"/>
              <w:left w:val="single" w:sz="4" w:space="0" w:color="auto"/>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Umbria</w:t>
            </w:r>
          </w:p>
        </w:tc>
        <w:tc>
          <w:tcPr>
            <w:tcW w:w="90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Lombardia</w:t>
            </w:r>
          </w:p>
        </w:tc>
        <w:tc>
          <w:tcPr>
            <w:tcW w:w="822"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Abruzzo</w:t>
            </w:r>
          </w:p>
        </w:tc>
        <w:tc>
          <w:tcPr>
            <w:tcW w:w="1191"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Puglia</w:t>
            </w:r>
          </w:p>
        </w:tc>
        <w:tc>
          <w:tcPr>
            <w:tcW w:w="794" w:type="dxa"/>
            <w:tcBorders>
              <w:top w:val="nil"/>
              <w:left w:val="nil"/>
              <w:bottom w:val="nil"/>
              <w:right w:val="nil"/>
            </w:tcBorders>
            <w:shd w:val="clear" w:color="000000" w:fill="EEECE1"/>
            <w:noWrap/>
            <w:vAlign w:val="center"/>
            <w:hideMark/>
          </w:tcPr>
          <w:p w:rsidR="0050454B" w:rsidRPr="0050454B" w:rsidRDefault="0050454B" w:rsidP="0050454B">
            <w:pPr>
              <w:jc w:val="center"/>
              <w:rPr>
                <w:rFonts w:ascii="Arial" w:hAnsi="Arial" w:cs="Arial"/>
                <w:color w:val="000000"/>
                <w:sz w:val="16"/>
                <w:szCs w:val="16"/>
              </w:rPr>
            </w:pPr>
          </w:p>
        </w:tc>
        <w:tc>
          <w:tcPr>
            <w:tcW w:w="1020" w:type="dxa"/>
            <w:tcBorders>
              <w:top w:val="nil"/>
              <w:left w:val="single" w:sz="4" w:space="0" w:color="auto"/>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Toscana</w:t>
            </w: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r>
      <w:tr w:rsidR="0050454B" w:rsidRPr="0050454B" w:rsidTr="0050454B">
        <w:trPr>
          <w:trHeight w:val="264"/>
        </w:trPr>
        <w:tc>
          <w:tcPr>
            <w:tcW w:w="822" w:type="dxa"/>
            <w:tcBorders>
              <w:top w:val="nil"/>
              <w:left w:val="single" w:sz="4" w:space="0" w:color="auto"/>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Sicilia</w:t>
            </w:r>
          </w:p>
        </w:tc>
        <w:tc>
          <w:tcPr>
            <w:tcW w:w="90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Veneto</w:t>
            </w:r>
          </w:p>
        </w:tc>
        <w:tc>
          <w:tcPr>
            <w:tcW w:w="822"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Molise</w:t>
            </w:r>
          </w:p>
        </w:tc>
        <w:tc>
          <w:tcPr>
            <w:tcW w:w="1191"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Calabria</w:t>
            </w:r>
          </w:p>
        </w:tc>
        <w:tc>
          <w:tcPr>
            <w:tcW w:w="794" w:type="dxa"/>
            <w:tcBorders>
              <w:top w:val="nil"/>
              <w:left w:val="nil"/>
              <w:bottom w:val="nil"/>
              <w:right w:val="nil"/>
            </w:tcBorders>
            <w:shd w:val="clear" w:color="000000" w:fill="EEECE1"/>
            <w:noWrap/>
            <w:vAlign w:val="center"/>
            <w:hideMark/>
          </w:tcPr>
          <w:p w:rsidR="0050454B" w:rsidRPr="0050454B" w:rsidRDefault="0050454B" w:rsidP="0050454B">
            <w:pPr>
              <w:jc w:val="center"/>
              <w:rPr>
                <w:rFonts w:ascii="Arial" w:hAnsi="Arial" w:cs="Arial"/>
                <w:color w:val="000000"/>
                <w:sz w:val="16"/>
                <w:szCs w:val="16"/>
              </w:rPr>
            </w:pPr>
          </w:p>
        </w:tc>
        <w:tc>
          <w:tcPr>
            <w:tcW w:w="1020" w:type="dxa"/>
            <w:tcBorders>
              <w:top w:val="nil"/>
              <w:left w:val="single" w:sz="4" w:space="0" w:color="auto"/>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Sardegna</w:t>
            </w: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r>
      <w:tr w:rsidR="0050454B" w:rsidRPr="0050454B" w:rsidTr="0050454B">
        <w:trPr>
          <w:trHeight w:val="264"/>
        </w:trPr>
        <w:tc>
          <w:tcPr>
            <w:tcW w:w="822" w:type="dxa"/>
            <w:tcBorders>
              <w:top w:val="nil"/>
              <w:left w:val="single" w:sz="4" w:space="0" w:color="auto"/>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90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Emilia R.</w:t>
            </w:r>
          </w:p>
        </w:tc>
        <w:tc>
          <w:tcPr>
            <w:tcW w:w="822"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1191"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nil"/>
              <w:right w:val="nil"/>
            </w:tcBorders>
            <w:shd w:val="clear" w:color="000000" w:fill="EEECE1"/>
            <w:noWrap/>
            <w:vAlign w:val="center"/>
            <w:hideMark/>
          </w:tcPr>
          <w:p w:rsidR="0050454B" w:rsidRPr="0050454B" w:rsidRDefault="0050454B" w:rsidP="0050454B">
            <w:pPr>
              <w:jc w:val="center"/>
              <w:rPr>
                <w:rFonts w:ascii="Arial" w:hAnsi="Arial" w:cs="Arial"/>
                <w:color w:val="000000"/>
                <w:sz w:val="16"/>
                <w:szCs w:val="16"/>
              </w:rPr>
            </w:pPr>
          </w:p>
        </w:tc>
        <w:tc>
          <w:tcPr>
            <w:tcW w:w="1020" w:type="dxa"/>
            <w:tcBorders>
              <w:top w:val="nil"/>
              <w:left w:val="single" w:sz="4" w:space="0" w:color="auto"/>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nil"/>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nil"/>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r>
      <w:tr w:rsidR="0050454B" w:rsidRPr="0050454B" w:rsidTr="0050454B">
        <w:trPr>
          <w:trHeight w:val="264"/>
        </w:trPr>
        <w:tc>
          <w:tcPr>
            <w:tcW w:w="822" w:type="dxa"/>
            <w:tcBorders>
              <w:top w:val="nil"/>
              <w:left w:val="single" w:sz="4" w:space="0" w:color="auto"/>
              <w:bottom w:val="single" w:sz="4" w:space="0" w:color="auto"/>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907"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r w:rsidRPr="0050454B">
              <w:rPr>
                <w:rFonts w:ascii="Calibri" w:hAnsi="Calibri" w:cs="Arial"/>
                <w:color w:val="000000"/>
                <w:sz w:val="16"/>
                <w:szCs w:val="16"/>
              </w:rPr>
              <w:t>Marche</w:t>
            </w:r>
          </w:p>
        </w:tc>
        <w:tc>
          <w:tcPr>
            <w:tcW w:w="822" w:type="dxa"/>
            <w:tcBorders>
              <w:top w:val="nil"/>
              <w:left w:val="nil"/>
              <w:bottom w:val="single" w:sz="4" w:space="0" w:color="auto"/>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1191"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single" w:sz="4" w:space="0" w:color="auto"/>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single" w:sz="4" w:space="0" w:color="auto"/>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1020" w:type="dxa"/>
            <w:tcBorders>
              <w:top w:val="nil"/>
              <w:left w:val="nil"/>
              <w:bottom w:val="single" w:sz="4" w:space="0" w:color="auto"/>
              <w:right w:val="single" w:sz="4" w:space="0" w:color="auto"/>
            </w:tcBorders>
            <w:shd w:val="clear" w:color="000000" w:fill="EEECE1"/>
            <w:noWrap/>
            <w:vAlign w:val="center"/>
            <w:hideMark/>
          </w:tcPr>
          <w:p w:rsidR="0050454B" w:rsidRPr="0050454B" w:rsidRDefault="0050454B" w:rsidP="0050454B">
            <w:pPr>
              <w:jc w:val="center"/>
              <w:rPr>
                <w:rFonts w:ascii="Calibri" w:hAnsi="Calibri" w:cs="Arial"/>
                <w:color w:val="000000"/>
                <w:sz w:val="16"/>
                <w:szCs w:val="16"/>
              </w:rPr>
            </w:pPr>
          </w:p>
        </w:tc>
        <w:tc>
          <w:tcPr>
            <w:tcW w:w="737"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c>
          <w:tcPr>
            <w:tcW w:w="794" w:type="dxa"/>
            <w:tcBorders>
              <w:top w:val="nil"/>
              <w:left w:val="nil"/>
              <w:bottom w:val="single" w:sz="4" w:space="0" w:color="auto"/>
              <w:right w:val="single" w:sz="4" w:space="0" w:color="auto"/>
            </w:tcBorders>
            <w:shd w:val="clear" w:color="auto" w:fill="auto"/>
            <w:noWrap/>
            <w:vAlign w:val="center"/>
            <w:hideMark/>
          </w:tcPr>
          <w:p w:rsidR="0050454B" w:rsidRPr="0050454B" w:rsidRDefault="0050454B" w:rsidP="0050454B">
            <w:pPr>
              <w:jc w:val="center"/>
              <w:rPr>
                <w:rFonts w:ascii="Calibri" w:hAnsi="Calibri" w:cs="Arial"/>
                <w:color w:val="000000"/>
                <w:sz w:val="16"/>
                <w:szCs w:val="16"/>
              </w:rPr>
            </w:pPr>
          </w:p>
        </w:tc>
      </w:tr>
    </w:tbl>
    <w:p w:rsidR="003678A4" w:rsidRPr="008D7331" w:rsidRDefault="00CB214E" w:rsidP="008D7331">
      <w:pPr>
        <w:spacing w:before="60"/>
        <w:rPr>
          <w:rFonts w:asciiTheme="minorHAnsi" w:eastAsia="Calibri" w:hAnsiTheme="minorHAnsi" w:cstheme="minorHAnsi"/>
          <w:sz w:val="18"/>
        </w:rPr>
      </w:pPr>
      <w:r w:rsidRPr="00AC5889">
        <w:rPr>
          <w:rFonts w:asciiTheme="minorHAnsi" w:eastAsia="Calibri" w:hAnsiTheme="minorHAnsi" w:cstheme="minorHAnsi"/>
          <w:sz w:val="18"/>
        </w:rPr>
        <w:t>Fonte:</w:t>
      </w:r>
      <w:r w:rsidR="005025ED">
        <w:rPr>
          <w:rFonts w:asciiTheme="minorHAnsi" w:eastAsia="Calibri" w:hAnsiTheme="minorHAnsi" w:cstheme="minorHAnsi"/>
          <w:sz w:val="18"/>
        </w:rPr>
        <w:t xml:space="preserve"> </w:t>
      </w:r>
      <w:r w:rsidRPr="00AC5889">
        <w:rPr>
          <w:rFonts w:asciiTheme="minorHAnsi" w:eastAsia="Calibri" w:hAnsiTheme="minorHAnsi" w:cstheme="minorHAnsi"/>
          <w:sz w:val="18"/>
        </w:rPr>
        <w:t xml:space="preserve">Nomisma e </w:t>
      </w:r>
      <w:proofErr w:type="spellStart"/>
      <w:r w:rsidR="008D7331" w:rsidRPr="00AC5889">
        <w:rPr>
          <w:rFonts w:asciiTheme="minorHAnsi" w:eastAsia="Calibri" w:hAnsiTheme="minorHAnsi" w:cstheme="minorHAnsi"/>
          <w:sz w:val="18"/>
        </w:rPr>
        <w:t>Fimaa</w:t>
      </w:r>
      <w:proofErr w:type="spellEnd"/>
      <w:r w:rsidR="00AC5889" w:rsidRPr="00AC5889">
        <w:rPr>
          <w:rFonts w:asciiTheme="minorHAnsi" w:eastAsia="Calibri" w:hAnsiTheme="minorHAnsi" w:cstheme="minorHAnsi"/>
          <w:sz w:val="18"/>
        </w:rPr>
        <w:t>-Confcommercio</w:t>
      </w:r>
    </w:p>
    <w:p w:rsidR="00CB214E" w:rsidRDefault="00CB214E" w:rsidP="00364602">
      <w:pPr>
        <w:rPr>
          <w:rFonts w:asciiTheme="minorHAnsi" w:eastAsia="Calibri" w:hAnsiTheme="minorHAnsi" w:cstheme="minorHAnsi"/>
          <w:szCs w:val="24"/>
        </w:rPr>
      </w:pPr>
    </w:p>
    <w:p w:rsidR="0009207A" w:rsidRPr="00EF2F69" w:rsidRDefault="0009207A"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 xml:space="preserve">Rispetto </w:t>
      </w:r>
      <w:r w:rsidR="00F63B06" w:rsidRPr="00EF2F69">
        <w:rPr>
          <w:rFonts w:asciiTheme="minorHAnsi" w:eastAsia="Calibri" w:hAnsiTheme="minorHAnsi" w:cstheme="minorHAnsi"/>
          <w:sz w:val="22"/>
          <w:szCs w:val="22"/>
        </w:rPr>
        <w:t>al</w:t>
      </w:r>
      <w:r w:rsidRPr="00EF2F69">
        <w:rPr>
          <w:rFonts w:asciiTheme="minorHAnsi" w:eastAsia="Calibri" w:hAnsiTheme="minorHAnsi" w:cstheme="minorHAnsi"/>
          <w:sz w:val="22"/>
          <w:szCs w:val="22"/>
        </w:rPr>
        <w:t xml:space="preserve"> dato medio per regione</w:t>
      </w:r>
      <w:r w:rsidR="00F63B06"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vi sono </w:t>
      </w:r>
      <w:r w:rsidR="005A6382" w:rsidRPr="00EF2F69">
        <w:rPr>
          <w:rFonts w:asciiTheme="minorHAnsi" w:eastAsia="Calibri" w:hAnsiTheme="minorHAnsi" w:cstheme="minorHAnsi"/>
          <w:sz w:val="22"/>
          <w:szCs w:val="22"/>
        </w:rPr>
        <w:t xml:space="preserve">alcuni mercati dove la variazione intervenuta nei prezzi nasconde un’ampia variabilità, come le località turistiche del Trentino Alto Adige che segnano </w:t>
      </w:r>
      <w:r w:rsidR="00C50228" w:rsidRPr="00EF2F69">
        <w:rPr>
          <w:rFonts w:asciiTheme="minorHAnsi" w:eastAsia="Calibri" w:hAnsiTheme="minorHAnsi" w:cstheme="minorHAnsi"/>
          <w:sz w:val="22"/>
          <w:szCs w:val="22"/>
        </w:rPr>
        <w:t>flessioni</w:t>
      </w:r>
      <w:r w:rsidR="005A6382" w:rsidRPr="00EF2F69">
        <w:rPr>
          <w:rFonts w:asciiTheme="minorHAnsi" w:eastAsia="Calibri" w:hAnsiTheme="minorHAnsi" w:cstheme="minorHAnsi"/>
          <w:sz w:val="22"/>
          <w:szCs w:val="22"/>
        </w:rPr>
        <w:t xml:space="preserve"> minime attorno alla stabilità e massime del -16% rispetto ad un dato medio regionale del -3%. </w:t>
      </w:r>
      <w:r w:rsidR="00176583" w:rsidRPr="00EF2F69">
        <w:rPr>
          <w:rFonts w:asciiTheme="minorHAnsi" w:eastAsia="Calibri" w:hAnsiTheme="minorHAnsi" w:cstheme="minorHAnsi"/>
          <w:sz w:val="22"/>
          <w:szCs w:val="22"/>
        </w:rPr>
        <w:t>Discorso analogo per</w:t>
      </w:r>
      <w:r w:rsidR="005A6382" w:rsidRPr="00EF2F69">
        <w:rPr>
          <w:rFonts w:asciiTheme="minorHAnsi" w:eastAsia="Calibri" w:hAnsiTheme="minorHAnsi" w:cstheme="minorHAnsi"/>
          <w:sz w:val="22"/>
          <w:szCs w:val="22"/>
        </w:rPr>
        <w:t xml:space="preserve"> Emilia Romagna e Ca</w:t>
      </w:r>
      <w:r w:rsidR="00C50228" w:rsidRPr="00EF2F69">
        <w:rPr>
          <w:rFonts w:asciiTheme="minorHAnsi" w:eastAsia="Calibri" w:hAnsiTheme="minorHAnsi" w:cstheme="minorHAnsi"/>
          <w:sz w:val="22"/>
          <w:szCs w:val="22"/>
        </w:rPr>
        <w:t>mpania</w:t>
      </w:r>
      <w:r w:rsidR="005A6382" w:rsidRPr="00EF2F69">
        <w:rPr>
          <w:rFonts w:asciiTheme="minorHAnsi" w:eastAsia="Calibri" w:hAnsiTheme="minorHAnsi" w:cstheme="minorHAnsi"/>
          <w:sz w:val="22"/>
          <w:szCs w:val="22"/>
        </w:rPr>
        <w:t xml:space="preserve"> contraddistinte</w:t>
      </w:r>
      <w:r w:rsidR="00176583" w:rsidRPr="00EF2F69">
        <w:rPr>
          <w:rFonts w:asciiTheme="minorHAnsi" w:eastAsia="Calibri" w:hAnsiTheme="minorHAnsi" w:cstheme="minorHAnsi"/>
          <w:sz w:val="22"/>
          <w:szCs w:val="22"/>
        </w:rPr>
        <w:t>,</w:t>
      </w:r>
      <w:r w:rsidR="005A6382" w:rsidRPr="00EF2F69">
        <w:rPr>
          <w:rFonts w:asciiTheme="minorHAnsi" w:eastAsia="Calibri" w:hAnsiTheme="minorHAnsi" w:cstheme="minorHAnsi"/>
          <w:sz w:val="22"/>
          <w:szCs w:val="22"/>
        </w:rPr>
        <w:t xml:space="preserve"> </w:t>
      </w:r>
      <w:r w:rsidR="00176583" w:rsidRPr="00EF2F69">
        <w:rPr>
          <w:rFonts w:asciiTheme="minorHAnsi" w:eastAsia="Calibri" w:hAnsiTheme="minorHAnsi" w:cstheme="minorHAnsi"/>
          <w:sz w:val="22"/>
          <w:szCs w:val="22"/>
        </w:rPr>
        <w:t xml:space="preserve">rispettivamente, </w:t>
      </w:r>
      <w:r w:rsidR="005A6382" w:rsidRPr="00EF2F69">
        <w:rPr>
          <w:rFonts w:asciiTheme="minorHAnsi" w:eastAsia="Calibri" w:hAnsiTheme="minorHAnsi" w:cstheme="minorHAnsi"/>
          <w:sz w:val="22"/>
          <w:szCs w:val="22"/>
        </w:rPr>
        <w:t xml:space="preserve">da un </w:t>
      </w:r>
      <w:proofErr w:type="spellStart"/>
      <w:r w:rsidR="005A6382" w:rsidRPr="00EF2F69">
        <w:rPr>
          <w:rFonts w:asciiTheme="minorHAnsi" w:eastAsia="Calibri" w:hAnsiTheme="minorHAnsi" w:cstheme="minorHAnsi"/>
          <w:i/>
          <w:sz w:val="22"/>
          <w:szCs w:val="22"/>
        </w:rPr>
        <w:t>range</w:t>
      </w:r>
      <w:proofErr w:type="spellEnd"/>
      <w:r w:rsidR="005A6382" w:rsidRPr="00EF2F69">
        <w:rPr>
          <w:rFonts w:asciiTheme="minorHAnsi" w:eastAsia="Calibri" w:hAnsiTheme="minorHAnsi" w:cstheme="minorHAnsi"/>
          <w:sz w:val="22"/>
          <w:szCs w:val="22"/>
        </w:rPr>
        <w:t xml:space="preserve"> del -15%/-4% e -1</w:t>
      </w:r>
      <w:r w:rsidR="00C50228" w:rsidRPr="00EF2F69">
        <w:rPr>
          <w:rFonts w:asciiTheme="minorHAnsi" w:eastAsia="Calibri" w:hAnsiTheme="minorHAnsi" w:cstheme="minorHAnsi"/>
          <w:sz w:val="22"/>
          <w:szCs w:val="22"/>
        </w:rPr>
        <w:t>2</w:t>
      </w:r>
      <w:r w:rsidR="005A6382" w:rsidRPr="00EF2F69">
        <w:rPr>
          <w:rFonts w:asciiTheme="minorHAnsi" w:eastAsia="Calibri" w:hAnsiTheme="minorHAnsi" w:cstheme="minorHAnsi"/>
          <w:sz w:val="22"/>
          <w:szCs w:val="22"/>
        </w:rPr>
        <w:t>%/0</w:t>
      </w:r>
      <w:r w:rsidRPr="00EF2F69">
        <w:rPr>
          <w:rFonts w:asciiTheme="minorHAnsi" w:eastAsia="Calibri" w:hAnsiTheme="minorHAnsi" w:cstheme="minorHAnsi"/>
          <w:sz w:val="22"/>
          <w:szCs w:val="22"/>
        </w:rPr>
        <w:t xml:space="preserve">. </w:t>
      </w:r>
      <w:r w:rsidR="00C50228" w:rsidRPr="00EF2F69">
        <w:rPr>
          <w:rFonts w:asciiTheme="minorHAnsi" w:eastAsia="Calibri" w:hAnsiTheme="minorHAnsi" w:cstheme="minorHAnsi"/>
          <w:sz w:val="22"/>
          <w:szCs w:val="22"/>
        </w:rPr>
        <w:t>La Basilicata, invece, è</w:t>
      </w:r>
      <w:r w:rsidR="005A6382" w:rsidRPr="00EF2F69">
        <w:rPr>
          <w:rFonts w:asciiTheme="minorHAnsi" w:eastAsia="Calibri" w:hAnsiTheme="minorHAnsi" w:cstheme="minorHAnsi"/>
          <w:sz w:val="22"/>
          <w:szCs w:val="22"/>
        </w:rPr>
        <w:t xml:space="preserve"> l’unica regione le cui località t</w:t>
      </w:r>
      <w:r w:rsidR="00C50228" w:rsidRPr="00EF2F69">
        <w:rPr>
          <w:rFonts w:asciiTheme="minorHAnsi" w:eastAsia="Calibri" w:hAnsiTheme="minorHAnsi" w:cstheme="minorHAnsi"/>
          <w:sz w:val="22"/>
          <w:szCs w:val="22"/>
        </w:rPr>
        <w:t>u</w:t>
      </w:r>
      <w:r w:rsidR="005A6382" w:rsidRPr="00EF2F69">
        <w:rPr>
          <w:rFonts w:asciiTheme="minorHAnsi" w:eastAsia="Calibri" w:hAnsiTheme="minorHAnsi" w:cstheme="minorHAnsi"/>
          <w:sz w:val="22"/>
          <w:szCs w:val="22"/>
        </w:rPr>
        <w:t xml:space="preserve">ristiche hanno visto un </w:t>
      </w:r>
      <w:r w:rsidR="00C50228" w:rsidRPr="00EF2F69">
        <w:rPr>
          <w:rFonts w:asciiTheme="minorHAnsi" w:eastAsia="Calibri" w:hAnsiTheme="minorHAnsi" w:cstheme="minorHAnsi"/>
          <w:sz w:val="22"/>
          <w:szCs w:val="22"/>
        </w:rPr>
        <w:t xml:space="preserve">lieve </w:t>
      </w:r>
      <w:r w:rsidR="005A6382" w:rsidRPr="00EF2F69">
        <w:rPr>
          <w:rFonts w:asciiTheme="minorHAnsi" w:eastAsia="Calibri" w:hAnsiTheme="minorHAnsi" w:cstheme="minorHAnsi"/>
          <w:sz w:val="22"/>
          <w:szCs w:val="22"/>
        </w:rPr>
        <w:t>aumento dei prezzi della fascia più alta del mercato.</w:t>
      </w:r>
    </w:p>
    <w:p w:rsidR="0009207A" w:rsidRDefault="0009207A" w:rsidP="00364602">
      <w:pPr>
        <w:rPr>
          <w:rFonts w:asciiTheme="minorHAnsi" w:eastAsia="Calibri" w:hAnsiTheme="minorHAnsi" w:cstheme="minorHAnsi"/>
          <w:szCs w:val="24"/>
        </w:rPr>
      </w:pPr>
    </w:p>
    <w:p w:rsidR="00F335F2" w:rsidRDefault="00F335F2" w:rsidP="00C72373">
      <w:pPr>
        <w:spacing w:after="120"/>
        <w:rPr>
          <w:rFonts w:asciiTheme="minorHAnsi" w:eastAsia="Calibri" w:hAnsiTheme="minorHAnsi" w:cstheme="minorHAnsi"/>
          <w:sz w:val="22"/>
          <w:szCs w:val="22"/>
        </w:rPr>
      </w:pPr>
    </w:p>
    <w:p w:rsidR="00FC7BBB" w:rsidRPr="00EF2F69" w:rsidRDefault="000D69E5" w:rsidP="00C72373">
      <w:pPr>
        <w:spacing w:after="120"/>
        <w:rPr>
          <w:rFonts w:asciiTheme="minorHAnsi" w:eastAsia="Calibri" w:hAnsiTheme="minorHAnsi" w:cstheme="minorHAnsi"/>
          <w:sz w:val="22"/>
          <w:szCs w:val="22"/>
        </w:rPr>
      </w:pPr>
      <w:r w:rsidRPr="00EF2F69">
        <w:rPr>
          <w:rFonts w:asciiTheme="minorHAnsi" w:eastAsia="Calibri" w:hAnsiTheme="minorHAnsi" w:cstheme="minorHAnsi"/>
          <w:sz w:val="22"/>
          <w:szCs w:val="22"/>
        </w:rPr>
        <w:t xml:space="preserve">Il </w:t>
      </w:r>
      <w:r w:rsidRPr="00EF2F69">
        <w:rPr>
          <w:rFonts w:asciiTheme="minorHAnsi" w:eastAsia="Calibri" w:hAnsiTheme="minorHAnsi" w:cstheme="minorHAnsi"/>
          <w:b/>
          <w:sz w:val="22"/>
          <w:szCs w:val="22"/>
        </w:rPr>
        <w:t>prezzo medio di un’abitazione turistica in Italia è di 2.500 euro al mq commerciale</w:t>
      </w:r>
      <w:r w:rsidR="00F63B06"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w:t>
      </w:r>
      <w:r w:rsidR="00B23B9D" w:rsidRPr="00EF2F69">
        <w:rPr>
          <w:rFonts w:asciiTheme="minorHAnsi" w:eastAsia="Calibri" w:hAnsiTheme="minorHAnsi" w:cstheme="minorHAnsi"/>
          <w:sz w:val="22"/>
          <w:szCs w:val="22"/>
        </w:rPr>
        <w:t>sintesi dei seguenti valori differenziati per tipologia di località turistica ed abitativa e per localizzazione</w:t>
      </w:r>
      <w:r w:rsidR="00FC7BBB" w:rsidRPr="00EF2F69">
        <w:rPr>
          <w:rFonts w:asciiTheme="minorHAnsi" w:eastAsia="Calibri" w:hAnsiTheme="minorHAnsi" w:cstheme="minorHAnsi"/>
          <w:sz w:val="22"/>
          <w:szCs w:val="22"/>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126"/>
        <w:gridCol w:w="2693"/>
        <w:gridCol w:w="2904"/>
      </w:tblGrid>
      <w:tr w:rsidR="00FC7BBB" w:rsidRPr="00FC7BBB" w:rsidTr="00C72373">
        <w:trPr>
          <w:trHeight w:val="340"/>
          <w:jc w:val="center"/>
        </w:trPr>
        <w:tc>
          <w:tcPr>
            <w:tcW w:w="2055" w:type="dxa"/>
            <w:vAlign w:val="center"/>
          </w:tcPr>
          <w:p w:rsidR="00FC7BBB" w:rsidRPr="00575691" w:rsidRDefault="00B23B9D" w:rsidP="00C72373">
            <w:pPr>
              <w:jc w:val="left"/>
              <w:rPr>
                <w:rFonts w:asciiTheme="minorHAnsi" w:eastAsia="Calibri" w:hAnsiTheme="minorHAnsi" w:cstheme="minorHAnsi"/>
                <w:sz w:val="20"/>
              </w:rPr>
            </w:pPr>
            <w:r w:rsidRPr="00575691">
              <w:rPr>
                <w:rFonts w:asciiTheme="minorHAnsi" w:eastAsia="Calibri" w:hAnsiTheme="minorHAnsi" w:cstheme="minorHAnsi"/>
                <w:caps w:val="0"/>
                <w:sz w:val="20"/>
              </w:rPr>
              <w:t xml:space="preserve">Tavola </w:t>
            </w:r>
            <w:r w:rsidRPr="00575691">
              <w:rPr>
                <w:rFonts w:asciiTheme="minorHAnsi" w:eastAsia="Calibri" w:hAnsiTheme="minorHAnsi" w:cstheme="minorHAnsi"/>
                <w:sz w:val="20"/>
              </w:rPr>
              <w:t>2</w:t>
            </w:r>
          </w:p>
        </w:tc>
        <w:tc>
          <w:tcPr>
            <w:tcW w:w="7723" w:type="dxa"/>
            <w:gridSpan w:val="3"/>
            <w:shd w:val="clear" w:color="auto" w:fill="D9D9D9" w:themeFill="background1" w:themeFillShade="D9"/>
            <w:vAlign w:val="center"/>
          </w:tcPr>
          <w:p w:rsidR="00FC7BBB" w:rsidRPr="00575691" w:rsidRDefault="00FC7BBB" w:rsidP="00C72373">
            <w:pPr>
              <w:jc w:val="center"/>
              <w:rPr>
                <w:rFonts w:asciiTheme="minorHAnsi" w:eastAsia="Calibri" w:hAnsiTheme="minorHAnsi" w:cstheme="minorHAnsi"/>
                <w:caps w:val="0"/>
                <w:sz w:val="20"/>
              </w:rPr>
            </w:pPr>
            <w:r w:rsidRPr="00575691">
              <w:rPr>
                <w:rFonts w:asciiTheme="minorHAnsi" w:eastAsia="Calibri" w:hAnsiTheme="minorHAnsi" w:cstheme="minorHAnsi"/>
                <w:caps w:val="0"/>
                <w:sz w:val="20"/>
              </w:rPr>
              <w:t>Prezzo medio</w:t>
            </w:r>
          </w:p>
        </w:tc>
      </w:tr>
      <w:tr w:rsidR="00FC7BBB" w:rsidRPr="00FC7BBB" w:rsidTr="00C72373">
        <w:trPr>
          <w:trHeight w:val="340"/>
          <w:jc w:val="center"/>
        </w:trPr>
        <w:tc>
          <w:tcPr>
            <w:tcW w:w="2055" w:type="dxa"/>
            <w:vAlign w:val="center"/>
          </w:tcPr>
          <w:p w:rsidR="00FC7BBB" w:rsidRPr="00C72373" w:rsidRDefault="00FC7BBB" w:rsidP="00C72373">
            <w:pPr>
              <w:jc w:val="left"/>
              <w:rPr>
                <w:rFonts w:asciiTheme="minorHAnsi" w:eastAsia="Calibri" w:hAnsiTheme="minorHAnsi" w:cstheme="minorHAnsi"/>
                <w:sz w:val="20"/>
              </w:rPr>
            </w:pPr>
          </w:p>
        </w:tc>
        <w:tc>
          <w:tcPr>
            <w:tcW w:w="2126" w:type="dxa"/>
            <w:shd w:val="clear" w:color="auto" w:fill="F2F2F2" w:themeFill="background1" w:themeFillShade="F2"/>
            <w:vAlign w:val="center"/>
          </w:tcPr>
          <w:p w:rsidR="00FC7BBB" w:rsidRPr="00C72373" w:rsidRDefault="00F63B06" w:rsidP="00C72373">
            <w:pPr>
              <w:jc w:val="center"/>
              <w:rPr>
                <w:rFonts w:asciiTheme="minorHAnsi" w:eastAsia="Calibri" w:hAnsiTheme="minorHAnsi" w:cstheme="minorHAnsi"/>
                <w:sz w:val="20"/>
              </w:rPr>
            </w:pPr>
            <w:r w:rsidRPr="00C72373">
              <w:rPr>
                <w:rFonts w:asciiTheme="minorHAnsi" w:eastAsia="Calibri" w:hAnsiTheme="minorHAnsi" w:cstheme="minorHAnsi"/>
                <w:caps w:val="0"/>
                <w:sz w:val="20"/>
              </w:rPr>
              <w:t xml:space="preserve">Abitazioni </w:t>
            </w:r>
            <w:r w:rsidR="00FC7BBB" w:rsidRPr="00C72373">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rsidR="00FC7BBB" w:rsidRPr="00C72373" w:rsidRDefault="00F63B06" w:rsidP="00C72373">
            <w:pPr>
              <w:jc w:val="center"/>
              <w:rPr>
                <w:rFonts w:asciiTheme="minorHAnsi" w:eastAsia="Calibri" w:hAnsiTheme="minorHAnsi" w:cstheme="minorHAnsi"/>
                <w:sz w:val="20"/>
              </w:rPr>
            </w:pPr>
            <w:r w:rsidRPr="00C72373">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rsidR="00FC7BBB" w:rsidRPr="00C72373" w:rsidRDefault="00F63B06" w:rsidP="00C72373">
            <w:pPr>
              <w:jc w:val="center"/>
              <w:rPr>
                <w:rFonts w:asciiTheme="minorHAnsi" w:eastAsia="Calibri" w:hAnsiTheme="minorHAnsi" w:cstheme="minorHAnsi"/>
                <w:sz w:val="20"/>
              </w:rPr>
            </w:pPr>
            <w:r w:rsidRPr="00C72373">
              <w:rPr>
                <w:rFonts w:asciiTheme="minorHAnsi" w:eastAsia="Calibri" w:hAnsiTheme="minorHAnsi" w:cstheme="minorHAnsi"/>
                <w:caps w:val="0"/>
                <w:sz w:val="20"/>
              </w:rPr>
              <w:t>Abitazioni periferiche usate</w:t>
            </w:r>
          </w:p>
        </w:tc>
      </w:tr>
      <w:tr w:rsidR="00FC7BBB" w:rsidRPr="00FC7BBB" w:rsidTr="00C72373">
        <w:trPr>
          <w:trHeight w:val="340"/>
          <w:jc w:val="center"/>
        </w:trPr>
        <w:tc>
          <w:tcPr>
            <w:tcW w:w="2055" w:type="dxa"/>
            <w:shd w:val="clear" w:color="auto" w:fill="DBE5F1" w:themeFill="accent1" w:themeFillTint="33"/>
            <w:vAlign w:val="center"/>
          </w:tcPr>
          <w:p w:rsidR="00FC7BBB" w:rsidRPr="00C72373" w:rsidRDefault="00F63B06" w:rsidP="00C72373">
            <w:pPr>
              <w:jc w:val="left"/>
              <w:rPr>
                <w:rFonts w:asciiTheme="minorHAnsi" w:eastAsia="Calibri" w:hAnsiTheme="minorHAnsi" w:cstheme="minorHAnsi"/>
                <w:sz w:val="20"/>
              </w:rPr>
            </w:pPr>
            <w:r w:rsidRPr="00C72373">
              <w:rPr>
                <w:rFonts w:asciiTheme="minorHAnsi" w:eastAsia="Calibri" w:hAnsiTheme="minorHAnsi" w:cstheme="minorHAnsi"/>
                <w:caps w:val="0"/>
                <w:sz w:val="20"/>
              </w:rPr>
              <w:t>L</w:t>
            </w:r>
            <w:r w:rsidR="00FC7BBB" w:rsidRPr="00C72373">
              <w:rPr>
                <w:rFonts w:asciiTheme="minorHAnsi" w:eastAsia="Calibri" w:hAnsiTheme="minorHAnsi" w:cstheme="minorHAnsi"/>
                <w:caps w:val="0"/>
                <w:sz w:val="20"/>
              </w:rPr>
              <w:t>ocalità marine</w:t>
            </w:r>
          </w:p>
        </w:tc>
        <w:tc>
          <w:tcPr>
            <w:tcW w:w="2126"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3.1</w:t>
            </w:r>
            <w:r w:rsidR="00707A17">
              <w:rPr>
                <w:rFonts w:asciiTheme="minorHAnsi" w:eastAsia="Calibri" w:hAnsiTheme="minorHAnsi" w:cstheme="minorHAnsi"/>
                <w:b w:val="0"/>
                <w:caps w:val="0"/>
                <w:sz w:val="20"/>
              </w:rPr>
              <w:t>6</w:t>
            </w:r>
            <w:r w:rsidRPr="00C72373">
              <w:rPr>
                <w:rFonts w:asciiTheme="minorHAnsi" w:eastAsia="Calibri" w:hAnsiTheme="minorHAnsi" w:cstheme="minorHAnsi"/>
                <w:b w:val="0"/>
                <w:caps w:val="0"/>
                <w:sz w:val="20"/>
              </w:rPr>
              <w:t>0€/mq</w:t>
            </w:r>
          </w:p>
        </w:tc>
        <w:tc>
          <w:tcPr>
            <w:tcW w:w="2693"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2.3</w:t>
            </w:r>
            <w:r w:rsidR="00707A17">
              <w:rPr>
                <w:rFonts w:asciiTheme="minorHAnsi" w:eastAsia="Calibri" w:hAnsiTheme="minorHAnsi" w:cstheme="minorHAnsi"/>
                <w:b w:val="0"/>
                <w:caps w:val="0"/>
                <w:sz w:val="20"/>
              </w:rPr>
              <w:t>7</w:t>
            </w:r>
            <w:r w:rsidRPr="00C72373">
              <w:rPr>
                <w:rFonts w:asciiTheme="minorHAnsi" w:eastAsia="Calibri" w:hAnsiTheme="minorHAnsi" w:cstheme="minorHAnsi"/>
                <w:b w:val="0"/>
                <w:caps w:val="0"/>
                <w:sz w:val="20"/>
              </w:rPr>
              <w:t>0 €/mq</w:t>
            </w:r>
          </w:p>
        </w:tc>
        <w:tc>
          <w:tcPr>
            <w:tcW w:w="2904"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1.7</w:t>
            </w:r>
            <w:r w:rsidR="00707A17">
              <w:rPr>
                <w:rFonts w:asciiTheme="minorHAnsi" w:eastAsia="Calibri" w:hAnsiTheme="minorHAnsi" w:cstheme="minorHAnsi"/>
                <w:b w:val="0"/>
                <w:caps w:val="0"/>
                <w:sz w:val="20"/>
              </w:rPr>
              <w:t>8</w:t>
            </w:r>
            <w:r w:rsidRPr="00C72373">
              <w:rPr>
                <w:rFonts w:asciiTheme="minorHAnsi" w:eastAsia="Calibri" w:hAnsiTheme="minorHAnsi" w:cstheme="minorHAnsi"/>
                <w:b w:val="0"/>
                <w:caps w:val="0"/>
                <w:sz w:val="20"/>
              </w:rPr>
              <w:t>0 €/mq</w:t>
            </w:r>
          </w:p>
        </w:tc>
      </w:tr>
      <w:tr w:rsidR="00FC7BBB" w:rsidRPr="00FC7BBB" w:rsidTr="00C72373">
        <w:trPr>
          <w:trHeight w:val="340"/>
          <w:jc w:val="center"/>
        </w:trPr>
        <w:tc>
          <w:tcPr>
            <w:tcW w:w="2055" w:type="dxa"/>
            <w:shd w:val="clear" w:color="auto" w:fill="DBE5F1" w:themeFill="accent1" w:themeFillTint="33"/>
            <w:vAlign w:val="center"/>
          </w:tcPr>
          <w:p w:rsidR="00FC7BBB" w:rsidRPr="00C72373" w:rsidRDefault="00F63B06" w:rsidP="00C72373">
            <w:pPr>
              <w:jc w:val="left"/>
              <w:rPr>
                <w:rFonts w:asciiTheme="minorHAnsi" w:eastAsia="Calibri" w:hAnsiTheme="minorHAnsi" w:cstheme="minorHAnsi"/>
                <w:sz w:val="20"/>
              </w:rPr>
            </w:pPr>
            <w:r w:rsidRPr="00C72373">
              <w:rPr>
                <w:rFonts w:asciiTheme="minorHAnsi" w:eastAsia="Calibri" w:hAnsiTheme="minorHAnsi" w:cstheme="minorHAnsi"/>
                <w:caps w:val="0"/>
                <w:sz w:val="20"/>
              </w:rPr>
              <w:t>L</w:t>
            </w:r>
            <w:r w:rsidR="00FC7BBB" w:rsidRPr="00C72373">
              <w:rPr>
                <w:rFonts w:asciiTheme="minorHAnsi" w:eastAsia="Calibri" w:hAnsiTheme="minorHAnsi" w:cstheme="minorHAnsi"/>
                <w:caps w:val="0"/>
                <w:sz w:val="20"/>
              </w:rPr>
              <w:t>ocalità montane</w:t>
            </w:r>
          </w:p>
        </w:tc>
        <w:tc>
          <w:tcPr>
            <w:tcW w:w="2126"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3.</w:t>
            </w:r>
            <w:r w:rsidR="00707A17">
              <w:rPr>
                <w:rFonts w:asciiTheme="minorHAnsi" w:eastAsia="Calibri" w:hAnsiTheme="minorHAnsi" w:cstheme="minorHAnsi"/>
                <w:b w:val="0"/>
                <w:caps w:val="0"/>
                <w:sz w:val="20"/>
              </w:rPr>
              <w:t>51</w:t>
            </w:r>
            <w:r w:rsidRPr="00C72373">
              <w:rPr>
                <w:rFonts w:asciiTheme="minorHAnsi" w:eastAsia="Calibri" w:hAnsiTheme="minorHAnsi" w:cstheme="minorHAnsi"/>
                <w:b w:val="0"/>
                <w:caps w:val="0"/>
                <w:sz w:val="20"/>
              </w:rPr>
              <w:t>0 €/mq</w:t>
            </w:r>
          </w:p>
        </w:tc>
        <w:tc>
          <w:tcPr>
            <w:tcW w:w="2693"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2.</w:t>
            </w:r>
            <w:r w:rsidR="00707A17">
              <w:rPr>
                <w:rFonts w:asciiTheme="minorHAnsi" w:eastAsia="Calibri" w:hAnsiTheme="minorHAnsi" w:cstheme="minorHAnsi"/>
                <w:b w:val="0"/>
                <w:caps w:val="0"/>
                <w:sz w:val="20"/>
              </w:rPr>
              <w:t>64</w:t>
            </w:r>
            <w:r w:rsidRPr="00C72373">
              <w:rPr>
                <w:rFonts w:asciiTheme="minorHAnsi" w:eastAsia="Calibri" w:hAnsiTheme="minorHAnsi" w:cstheme="minorHAnsi"/>
                <w:b w:val="0"/>
                <w:caps w:val="0"/>
                <w:sz w:val="20"/>
              </w:rPr>
              <w:t>0 €/mq</w:t>
            </w:r>
          </w:p>
        </w:tc>
        <w:tc>
          <w:tcPr>
            <w:tcW w:w="2904" w:type="dxa"/>
            <w:shd w:val="clear" w:color="auto" w:fill="DBE5F1" w:themeFill="accent1" w:themeFillTint="33"/>
            <w:vAlign w:val="center"/>
          </w:tcPr>
          <w:p w:rsidR="00FC7BBB" w:rsidRPr="00C72373" w:rsidRDefault="00FC7BBB" w:rsidP="00707A17">
            <w:pPr>
              <w:jc w:val="center"/>
              <w:rPr>
                <w:rFonts w:asciiTheme="minorHAnsi" w:eastAsia="Calibri" w:hAnsiTheme="minorHAnsi" w:cstheme="minorHAnsi"/>
                <w:b w:val="0"/>
                <w:sz w:val="20"/>
              </w:rPr>
            </w:pPr>
            <w:r w:rsidRPr="00C72373">
              <w:rPr>
                <w:rFonts w:asciiTheme="minorHAnsi" w:eastAsia="Calibri" w:hAnsiTheme="minorHAnsi" w:cstheme="minorHAnsi"/>
                <w:b w:val="0"/>
                <w:caps w:val="0"/>
                <w:sz w:val="20"/>
              </w:rPr>
              <w:t>1.</w:t>
            </w:r>
            <w:r w:rsidR="00707A17">
              <w:rPr>
                <w:rFonts w:asciiTheme="minorHAnsi" w:eastAsia="Calibri" w:hAnsiTheme="minorHAnsi" w:cstheme="minorHAnsi"/>
                <w:b w:val="0"/>
                <w:caps w:val="0"/>
                <w:sz w:val="20"/>
              </w:rPr>
              <w:t>800</w:t>
            </w:r>
            <w:r w:rsidRPr="00C72373">
              <w:rPr>
                <w:rFonts w:asciiTheme="minorHAnsi" w:eastAsia="Calibri" w:hAnsiTheme="minorHAnsi" w:cstheme="minorHAnsi"/>
                <w:b w:val="0"/>
                <w:caps w:val="0"/>
                <w:sz w:val="20"/>
              </w:rPr>
              <w:t xml:space="preserve"> €/mq</w:t>
            </w:r>
          </w:p>
        </w:tc>
      </w:tr>
    </w:tbl>
    <w:p w:rsidR="008D7331" w:rsidRPr="008D7331" w:rsidRDefault="008D7331" w:rsidP="008D7331">
      <w:pPr>
        <w:spacing w:before="60"/>
        <w:rPr>
          <w:rFonts w:asciiTheme="minorHAnsi" w:eastAsia="Calibri" w:hAnsiTheme="minorHAnsi" w:cstheme="minorHAnsi"/>
          <w:sz w:val="18"/>
        </w:rPr>
      </w:pPr>
      <w:r w:rsidRPr="00AC5889">
        <w:rPr>
          <w:rFonts w:asciiTheme="minorHAnsi" w:eastAsia="Calibri" w:hAnsiTheme="minorHAnsi" w:cstheme="minorHAnsi"/>
          <w:sz w:val="18"/>
        </w:rPr>
        <w:t xml:space="preserve">Fonte: Nomisma e </w:t>
      </w:r>
      <w:proofErr w:type="spellStart"/>
      <w:r w:rsidRPr="00AC5889">
        <w:rPr>
          <w:rFonts w:asciiTheme="minorHAnsi" w:eastAsia="Calibri" w:hAnsiTheme="minorHAnsi" w:cstheme="minorHAnsi"/>
          <w:sz w:val="18"/>
        </w:rPr>
        <w:t>Fimaa</w:t>
      </w:r>
      <w:proofErr w:type="spellEnd"/>
      <w:r w:rsidR="00AC5889" w:rsidRPr="00AC5889">
        <w:rPr>
          <w:rFonts w:asciiTheme="minorHAnsi" w:eastAsia="Calibri" w:hAnsiTheme="minorHAnsi" w:cstheme="minorHAnsi"/>
          <w:sz w:val="18"/>
        </w:rPr>
        <w:t>-Confcommercio</w:t>
      </w:r>
    </w:p>
    <w:p w:rsidR="00FC7BBB" w:rsidRDefault="00FC7BBB" w:rsidP="00364602">
      <w:pPr>
        <w:rPr>
          <w:rFonts w:asciiTheme="minorHAnsi" w:eastAsia="Calibri" w:hAnsiTheme="minorHAnsi" w:cstheme="minorHAnsi"/>
          <w:szCs w:val="24"/>
        </w:rPr>
      </w:pPr>
    </w:p>
    <w:p w:rsidR="00730030" w:rsidRPr="00EF2F69" w:rsidRDefault="00DB5FBA"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 xml:space="preserve">Le località </w:t>
      </w:r>
      <w:r w:rsidR="002D78BD" w:rsidRPr="00EF2F69">
        <w:rPr>
          <w:rFonts w:asciiTheme="minorHAnsi" w:eastAsia="Calibri" w:hAnsiTheme="minorHAnsi" w:cstheme="minorHAnsi"/>
          <w:sz w:val="22"/>
          <w:szCs w:val="22"/>
        </w:rPr>
        <w:t xml:space="preserve">che </w:t>
      </w:r>
      <w:r w:rsidR="00F63B06" w:rsidRPr="00EF2F69">
        <w:rPr>
          <w:rFonts w:asciiTheme="minorHAnsi" w:eastAsia="Calibri" w:hAnsiTheme="minorHAnsi" w:cstheme="minorHAnsi"/>
          <w:sz w:val="22"/>
          <w:szCs w:val="22"/>
        </w:rPr>
        <w:t>rappresentano</w:t>
      </w:r>
      <w:r w:rsidRPr="00EF2F69">
        <w:rPr>
          <w:rFonts w:asciiTheme="minorHAnsi" w:eastAsia="Calibri" w:hAnsiTheme="minorHAnsi" w:cstheme="minorHAnsi"/>
          <w:sz w:val="22"/>
          <w:szCs w:val="22"/>
        </w:rPr>
        <w:t xml:space="preserve"> gli estremi </w:t>
      </w:r>
      <w:r w:rsidR="00F63B06" w:rsidRPr="00EF2F69">
        <w:rPr>
          <w:rFonts w:asciiTheme="minorHAnsi" w:eastAsia="Calibri" w:hAnsiTheme="minorHAnsi" w:cstheme="minorHAnsi"/>
          <w:sz w:val="22"/>
          <w:szCs w:val="22"/>
        </w:rPr>
        <w:t xml:space="preserve">dell’ampio </w:t>
      </w:r>
      <w:proofErr w:type="spellStart"/>
      <w:r w:rsidR="00F63B06" w:rsidRPr="00EF2F69">
        <w:rPr>
          <w:rFonts w:asciiTheme="minorHAnsi" w:eastAsia="Calibri" w:hAnsiTheme="minorHAnsi" w:cstheme="minorHAnsi"/>
          <w:sz w:val="22"/>
          <w:szCs w:val="22"/>
        </w:rPr>
        <w:t>range</w:t>
      </w:r>
      <w:proofErr w:type="spellEnd"/>
      <w:r w:rsidR="00F63B06" w:rsidRPr="00EF2F69">
        <w:rPr>
          <w:rFonts w:asciiTheme="minorHAnsi" w:eastAsia="Calibri" w:hAnsiTheme="minorHAnsi" w:cstheme="minorHAnsi"/>
          <w:sz w:val="22"/>
          <w:szCs w:val="22"/>
        </w:rPr>
        <w:t xml:space="preserve"> </w:t>
      </w:r>
      <w:r w:rsidRPr="00EF2F69">
        <w:rPr>
          <w:rFonts w:asciiTheme="minorHAnsi" w:eastAsia="Calibri" w:hAnsiTheme="minorHAnsi" w:cstheme="minorHAnsi"/>
          <w:sz w:val="22"/>
          <w:szCs w:val="22"/>
        </w:rPr>
        <w:t>dei prezzi delle abitazioni nelle località turistiche sono Santa Margherita Ligure</w:t>
      </w:r>
      <w:r w:rsidR="00F63B06" w:rsidRPr="00EF2F69">
        <w:rPr>
          <w:rFonts w:asciiTheme="minorHAnsi" w:eastAsia="Calibri" w:hAnsiTheme="minorHAnsi" w:cstheme="minorHAnsi"/>
          <w:sz w:val="22"/>
          <w:szCs w:val="22"/>
        </w:rPr>
        <w:t xml:space="preserve"> </w:t>
      </w:r>
      <w:r w:rsidR="001C12EE" w:rsidRPr="00EF2F69">
        <w:rPr>
          <w:rFonts w:asciiTheme="minorHAnsi" w:eastAsia="Calibri" w:hAnsiTheme="minorHAnsi" w:cstheme="minorHAnsi"/>
          <w:sz w:val="22"/>
          <w:szCs w:val="22"/>
        </w:rPr>
        <w:t xml:space="preserve">(GE) </w:t>
      </w:r>
      <w:r w:rsidRPr="00EF2F69">
        <w:rPr>
          <w:rFonts w:asciiTheme="minorHAnsi" w:eastAsia="Calibri" w:hAnsiTheme="minorHAnsi" w:cstheme="minorHAnsi"/>
          <w:sz w:val="22"/>
          <w:szCs w:val="22"/>
        </w:rPr>
        <w:t>per l’estremo superiore</w:t>
      </w:r>
      <w:r w:rsidR="00F63B06"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 xml:space="preserve"> con </w:t>
      </w:r>
      <w:r w:rsidR="00F63B06" w:rsidRPr="00EF2F69">
        <w:rPr>
          <w:rFonts w:asciiTheme="minorHAnsi" w:eastAsia="Calibri" w:hAnsiTheme="minorHAnsi" w:cstheme="minorHAnsi"/>
          <w:sz w:val="22"/>
          <w:szCs w:val="22"/>
        </w:rPr>
        <w:t xml:space="preserve">quotazioni </w:t>
      </w:r>
      <w:r w:rsidR="00EC469A" w:rsidRPr="00EF2F69">
        <w:rPr>
          <w:rFonts w:asciiTheme="minorHAnsi" w:eastAsia="Calibri" w:hAnsiTheme="minorHAnsi" w:cstheme="minorHAnsi"/>
          <w:sz w:val="22"/>
          <w:szCs w:val="22"/>
        </w:rPr>
        <w:t xml:space="preserve">sul mercato top </w:t>
      </w:r>
      <w:r w:rsidR="00C72373" w:rsidRPr="00EF2F69">
        <w:rPr>
          <w:rFonts w:asciiTheme="minorHAnsi" w:eastAsia="Calibri" w:hAnsiTheme="minorHAnsi" w:cstheme="minorHAnsi"/>
          <w:sz w:val="22"/>
          <w:szCs w:val="22"/>
        </w:rPr>
        <w:t xml:space="preserve">che arrivano fino a </w:t>
      </w:r>
      <w:r w:rsidR="00F63B06" w:rsidRPr="00EF2F69">
        <w:rPr>
          <w:rFonts w:asciiTheme="minorHAnsi" w:eastAsia="Calibri" w:hAnsiTheme="minorHAnsi" w:cstheme="minorHAnsi"/>
          <w:sz w:val="22"/>
          <w:szCs w:val="22"/>
        </w:rPr>
        <w:t>15.</w:t>
      </w:r>
      <w:r w:rsidR="00C72373" w:rsidRPr="00EF2F69">
        <w:rPr>
          <w:rFonts w:asciiTheme="minorHAnsi" w:eastAsia="Calibri" w:hAnsiTheme="minorHAnsi" w:cstheme="minorHAnsi"/>
          <w:sz w:val="22"/>
          <w:szCs w:val="22"/>
        </w:rPr>
        <w:t>5</w:t>
      </w:r>
      <w:r w:rsidR="00F63B06" w:rsidRPr="00EF2F69">
        <w:rPr>
          <w:rFonts w:asciiTheme="minorHAnsi" w:eastAsia="Calibri" w:hAnsiTheme="minorHAnsi" w:cstheme="minorHAnsi"/>
          <w:sz w:val="22"/>
          <w:szCs w:val="22"/>
        </w:rPr>
        <w:t>00 €/mq</w:t>
      </w:r>
      <w:r w:rsidR="00C72373" w:rsidRPr="00EF2F69">
        <w:rPr>
          <w:rFonts w:asciiTheme="minorHAnsi" w:eastAsia="Calibri" w:hAnsiTheme="minorHAnsi" w:cstheme="minorHAnsi"/>
          <w:sz w:val="22"/>
          <w:szCs w:val="22"/>
        </w:rPr>
        <w:t>,</w:t>
      </w:r>
      <w:r w:rsidR="00F63B06" w:rsidRPr="00EF2F69">
        <w:rPr>
          <w:rFonts w:asciiTheme="minorHAnsi" w:eastAsia="Calibri" w:hAnsiTheme="minorHAnsi" w:cstheme="minorHAnsi"/>
          <w:sz w:val="22"/>
          <w:szCs w:val="22"/>
        </w:rPr>
        <w:t xml:space="preserve"> e Cavedine </w:t>
      </w:r>
      <w:r w:rsidR="00EC469A" w:rsidRPr="00EF2F69">
        <w:rPr>
          <w:rFonts w:asciiTheme="minorHAnsi" w:eastAsia="Calibri" w:hAnsiTheme="minorHAnsi" w:cstheme="minorHAnsi"/>
          <w:sz w:val="22"/>
          <w:szCs w:val="22"/>
        </w:rPr>
        <w:t xml:space="preserve">(TN) </w:t>
      </w:r>
      <w:r w:rsidR="00F63B06" w:rsidRPr="00EF2F69">
        <w:rPr>
          <w:rFonts w:asciiTheme="minorHAnsi" w:eastAsia="Calibri" w:hAnsiTheme="minorHAnsi" w:cstheme="minorHAnsi"/>
          <w:sz w:val="22"/>
          <w:szCs w:val="22"/>
        </w:rPr>
        <w:t xml:space="preserve">per quello </w:t>
      </w:r>
      <w:r w:rsidRPr="00EF2F69">
        <w:rPr>
          <w:rFonts w:asciiTheme="minorHAnsi" w:eastAsia="Calibri" w:hAnsiTheme="minorHAnsi" w:cstheme="minorHAnsi"/>
          <w:sz w:val="22"/>
          <w:szCs w:val="22"/>
        </w:rPr>
        <w:t xml:space="preserve">inferiore, con </w:t>
      </w:r>
      <w:r w:rsidR="001C12EE" w:rsidRPr="00EF2F69">
        <w:rPr>
          <w:rFonts w:asciiTheme="minorHAnsi" w:eastAsia="Calibri" w:hAnsiTheme="minorHAnsi" w:cstheme="minorHAnsi"/>
          <w:sz w:val="22"/>
          <w:szCs w:val="22"/>
        </w:rPr>
        <w:t>valori</w:t>
      </w:r>
      <w:r w:rsidR="007443E9" w:rsidRPr="00EF2F69">
        <w:rPr>
          <w:rFonts w:asciiTheme="minorHAnsi" w:eastAsia="Calibri" w:hAnsiTheme="minorHAnsi" w:cstheme="minorHAnsi"/>
          <w:sz w:val="22"/>
          <w:szCs w:val="22"/>
        </w:rPr>
        <w:t xml:space="preserve"> minimi delle abitazioni periferiche usate nell’ordine dei </w:t>
      </w:r>
      <w:r w:rsidR="001C12EE" w:rsidRPr="00EF2F69">
        <w:rPr>
          <w:rFonts w:asciiTheme="minorHAnsi" w:eastAsia="Calibri" w:hAnsiTheme="minorHAnsi" w:cstheme="minorHAnsi"/>
          <w:sz w:val="22"/>
          <w:szCs w:val="22"/>
        </w:rPr>
        <w:t>350</w:t>
      </w:r>
      <w:r w:rsidR="00F63B06" w:rsidRPr="00EF2F69">
        <w:rPr>
          <w:rFonts w:asciiTheme="minorHAnsi" w:eastAsia="Calibri" w:hAnsiTheme="minorHAnsi" w:cstheme="minorHAnsi"/>
          <w:sz w:val="22"/>
          <w:szCs w:val="22"/>
        </w:rPr>
        <w:t xml:space="preserve"> €/mq</w:t>
      </w:r>
      <w:r w:rsidRPr="00EF2F69">
        <w:rPr>
          <w:rFonts w:asciiTheme="minorHAnsi" w:eastAsia="Calibri" w:hAnsiTheme="minorHAnsi" w:cstheme="minorHAnsi"/>
          <w:sz w:val="22"/>
          <w:szCs w:val="22"/>
        </w:rPr>
        <w:t>.</w:t>
      </w:r>
    </w:p>
    <w:p w:rsidR="00DB5FBA" w:rsidRPr="00EF2F69" w:rsidRDefault="00DB5FBA" w:rsidP="00364602">
      <w:pPr>
        <w:rPr>
          <w:rFonts w:asciiTheme="minorHAnsi" w:eastAsia="Calibri" w:hAnsiTheme="minorHAnsi" w:cstheme="minorHAnsi"/>
          <w:sz w:val="22"/>
          <w:szCs w:val="22"/>
        </w:rPr>
      </w:pPr>
    </w:p>
    <w:p w:rsidR="00364602" w:rsidRPr="00EF2F69" w:rsidRDefault="00077198"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Il mercato della locazione delle località turistiche è c</w:t>
      </w:r>
      <w:r w:rsidR="00F63B06" w:rsidRPr="00EF2F69">
        <w:rPr>
          <w:rFonts w:asciiTheme="minorHAnsi" w:eastAsia="Calibri" w:hAnsiTheme="minorHAnsi" w:cstheme="minorHAnsi"/>
          <w:sz w:val="22"/>
          <w:szCs w:val="22"/>
        </w:rPr>
        <w:t>aratterizzato</w:t>
      </w:r>
      <w:r w:rsidRPr="00EF2F69">
        <w:rPr>
          <w:rFonts w:asciiTheme="minorHAnsi" w:eastAsia="Calibri" w:hAnsiTheme="minorHAnsi" w:cstheme="minorHAnsi"/>
          <w:sz w:val="22"/>
          <w:szCs w:val="22"/>
        </w:rPr>
        <w:t xml:space="preserve"> da un canone medio settimanale ordinario (valore di massima frequenza)</w:t>
      </w:r>
      <w:r w:rsidR="00B341AE" w:rsidRPr="00EF2F69">
        <w:rPr>
          <w:rFonts w:asciiTheme="minorHAnsi" w:eastAsia="Calibri" w:hAnsiTheme="minorHAnsi" w:cstheme="minorHAnsi"/>
          <w:sz w:val="22"/>
          <w:szCs w:val="22"/>
        </w:rPr>
        <w:t xml:space="preserve"> </w:t>
      </w:r>
      <w:r w:rsidR="00F63B06" w:rsidRPr="00EF2F69">
        <w:rPr>
          <w:rFonts w:asciiTheme="minorHAnsi" w:eastAsia="Calibri" w:hAnsiTheme="minorHAnsi" w:cstheme="minorHAnsi"/>
          <w:sz w:val="22"/>
          <w:szCs w:val="22"/>
        </w:rPr>
        <w:t xml:space="preserve">di </w:t>
      </w:r>
      <w:r w:rsidR="00897A38" w:rsidRPr="00EF2F69">
        <w:rPr>
          <w:rFonts w:asciiTheme="minorHAnsi" w:eastAsia="Calibri" w:hAnsiTheme="minorHAnsi" w:cstheme="minorHAnsi"/>
          <w:sz w:val="22"/>
          <w:szCs w:val="22"/>
        </w:rPr>
        <w:t>370</w:t>
      </w:r>
      <w:r w:rsidR="00F63B06" w:rsidRPr="00EF2F69">
        <w:rPr>
          <w:rFonts w:asciiTheme="minorHAnsi" w:eastAsia="Calibri" w:hAnsiTheme="minorHAnsi" w:cstheme="minorHAnsi"/>
          <w:sz w:val="22"/>
          <w:szCs w:val="22"/>
        </w:rPr>
        <w:t xml:space="preserve"> € per il mese di giugno, </w:t>
      </w:r>
      <w:r w:rsidR="00897A38" w:rsidRPr="00EF2F69">
        <w:rPr>
          <w:rFonts w:asciiTheme="minorHAnsi" w:eastAsia="Calibri" w:hAnsiTheme="minorHAnsi" w:cstheme="minorHAnsi"/>
          <w:sz w:val="22"/>
          <w:szCs w:val="22"/>
        </w:rPr>
        <w:t>520</w:t>
      </w:r>
      <w:r w:rsidR="00F63B06" w:rsidRPr="00EF2F69">
        <w:rPr>
          <w:rFonts w:asciiTheme="minorHAnsi" w:eastAsia="Calibri" w:hAnsiTheme="minorHAnsi" w:cstheme="minorHAnsi"/>
          <w:sz w:val="22"/>
          <w:szCs w:val="22"/>
        </w:rPr>
        <w:t xml:space="preserve"> € per luglio e </w:t>
      </w:r>
      <w:r w:rsidR="00897A38" w:rsidRPr="00EF2F69">
        <w:rPr>
          <w:rFonts w:asciiTheme="minorHAnsi" w:eastAsia="Calibri" w:hAnsiTheme="minorHAnsi" w:cstheme="minorHAnsi"/>
          <w:sz w:val="22"/>
          <w:szCs w:val="22"/>
        </w:rPr>
        <w:t>65</w:t>
      </w:r>
      <w:r w:rsidR="00707A17" w:rsidRPr="00EF2F69">
        <w:rPr>
          <w:rFonts w:asciiTheme="minorHAnsi" w:eastAsia="Calibri" w:hAnsiTheme="minorHAnsi" w:cstheme="minorHAnsi"/>
          <w:sz w:val="22"/>
          <w:szCs w:val="22"/>
        </w:rPr>
        <w:t>0</w:t>
      </w:r>
      <w:r w:rsidR="00F63B06" w:rsidRPr="00EF2F69">
        <w:rPr>
          <w:rFonts w:asciiTheme="minorHAnsi" w:eastAsia="Calibri" w:hAnsiTheme="minorHAnsi" w:cstheme="minorHAnsi"/>
          <w:sz w:val="22"/>
          <w:szCs w:val="22"/>
        </w:rPr>
        <w:t xml:space="preserve"> € per agosto, per un </w:t>
      </w:r>
      <w:r w:rsidRPr="00EF2F69">
        <w:rPr>
          <w:rFonts w:asciiTheme="minorHAnsi" w:eastAsia="Calibri" w:hAnsiTheme="minorHAnsi" w:cstheme="minorHAnsi"/>
          <w:sz w:val="22"/>
          <w:szCs w:val="22"/>
        </w:rPr>
        <w:t>appartamento con camera matrimoniale, cameretta, cucina e bagno, 4 posti letto</w:t>
      </w:r>
      <w:r w:rsidR="00897A38" w:rsidRPr="00EF2F69">
        <w:rPr>
          <w:rFonts w:asciiTheme="minorHAnsi" w:eastAsia="Calibri" w:hAnsiTheme="minorHAnsi" w:cstheme="minorHAnsi"/>
          <w:sz w:val="22"/>
          <w:szCs w:val="22"/>
        </w:rPr>
        <w:t xml:space="preserve"> (</w:t>
      </w:r>
      <w:r w:rsidR="00B341AE" w:rsidRPr="00EF2F69">
        <w:rPr>
          <w:rFonts w:asciiTheme="minorHAnsi" w:eastAsia="Calibri" w:hAnsiTheme="minorHAnsi" w:cstheme="minorHAnsi"/>
          <w:sz w:val="22"/>
          <w:szCs w:val="22"/>
        </w:rPr>
        <w:t>spese incluse</w:t>
      </w:r>
      <w:r w:rsidR="00897A38" w:rsidRPr="00EF2F69">
        <w:rPr>
          <w:rFonts w:asciiTheme="minorHAnsi" w:eastAsia="Calibri" w:hAnsiTheme="minorHAnsi" w:cstheme="minorHAnsi"/>
          <w:sz w:val="22"/>
          <w:szCs w:val="22"/>
        </w:rPr>
        <w:t>)</w:t>
      </w:r>
      <w:r w:rsidRPr="00EF2F69">
        <w:rPr>
          <w:rFonts w:asciiTheme="minorHAnsi" w:eastAsia="Calibri" w:hAnsiTheme="minorHAnsi" w:cstheme="minorHAnsi"/>
          <w:sz w:val="22"/>
          <w:szCs w:val="22"/>
        </w:rPr>
        <w:t>.</w:t>
      </w:r>
    </w:p>
    <w:p w:rsidR="00CB4779" w:rsidRPr="00EF2F69" w:rsidRDefault="00CB4779" w:rsidP="00364602">
      <w:pPr>
        <w:rPr>
          <w:rFonts w:asciiTheme="minorHAnsi" w:eastAsia="Calibri" w:hAnsiTheme="minorHAnsi" w:cstheme="minorHAnsi"/>
          <w:sz w:val="22"/>
          <w:szCs w:val="22"/>
        </w:rPr>
      </w:pPr>
    </w:p>
    <w:p w:rsidR="00F63B06" w:rsidRPr="00EF2F69" w:rsidRDefault="00CC3C69" w:rsidP="00897A38">
      <w:pPr>
        <w:spacing w:after="120"/>
        <w:rPr>
          <w:rFonts w:asciiTheme="minorHAnsi" w:eastAsia="Calibri" w:hAnsiTheme="minorHAnsi" w:cstheme="minorHAnsi"/>
          <w:sz w:val="22"/>
          <w:szCs w:val="22"/>
        </w:rPr>
      </w:pPr>
      <w:r w:rsidRPr="00EF2F69">
        <w:rPr>
          <w:rFonts w:asciiTheme="minorHAnsi" w:eastAsia="Calibri" w:hAnsiTheme="minorHAnsi" w:cstheme="minorHAnsi"/>
          <w:sz w:val="22"/>
          <w:szCs w:val="22"/>
        </w:rPr>
        <w:t>Anche in questo segmento del mercato s</w:t>
      </w:r>
      <w:r w:rsidR="00F63B06" w:rsidRPr="00EF2F69">
        <w:rPr>
          <w:rFonts w:asciiTheme="minorHAnsi" w:eastAsia="Calibri" w:hAnsiTheme="minorHAnsi" w:cstheme="minorHAnsi"/>
          <w:sz w:val="22"/>
          <w:szCs w:val="22"/>
        </w:rPr>
        <w:t xml:space="preserve">i riscontrano </w:t>
      </w:r>
      <w:r w:rsidRPr="00EF2F69">
        <w:rPr>
          <w:rFonts w:asciiTheme="minorHAnsi" w:eastAsia="Calibri" w:hAnsiTheme="minorHAnsi" w:cstheme="minorHAnsi"/>
          <w:sz w:val="22"/>
          <w:szCs w:val="22"/>
        </w:rPr>
        <w:t xml:space="preserve">differenze </w:t>
      </w:r>
      <w:r w:rsidR="00F63B06" w:rsidRPr="00EF2F69">
        <w:rPr>
          <w:rFonts w:asciiTheme="minorHAnsi" w:eastAsia="Calibri" w:hAnsiTheme="minorHAnsi" w:cstheme="minorHAnsi"/>
          <w:sz w:val="22"/>
          <w:szCs w:val="22"/>
        </w:rPr>
        <w:t xml:space="preserve">tutt’altro che trascurabili tra le </w:t>
      </w:r>
      <w:r w:rsidRPr="00EF2F69">
        <w:rPr>
          <w:rFonts w:asciiTheme="minorHAnsi" w:eastAsia="Calibri" w:hAnsiTheme="minorHAnsi" w:cstheme="minorHAnsi"/>
          <w:sz w:val="22"/>
          <w:szCs w:val="22"/>
        </w:rPr>
        <w:t>divers</w:t>
      </w:r>
      <w:r w:rsidR="00F63B06" w:rsidRPr="00EF2F69">
        <w:rPr>
          <w:rFonts w:asciiTheme="minorHAnsi" w:eastAsia="Calibri" w:hAnsiTheme="minorHAnsi" w:cstheme="minorHAnsi"/>
          <w:sz w:val="22"/>
          <w:szCs w:val="22"/>
        </w:rPr>
        <w:t>e</w:t>
      </w:r>
      <w:r w:rsidRPr="00EF2F69">
        <w:rPr>
          <w:rFonts w:asciiTheme="minorHAnsi" w:eastAsia="Calibri" w:hAnsiTheme="minorHAnsi" w:cstheme="minorHAnsi"/>
          <w:sz w:val="22"/>
          <w:szCs w:val="22"/>
        </w:rPr>
        <w:t xml:space="preserve"> tipologi</w:t>
      </w:r>
      <w:r w:rsidR="00F63B06" w:rsidRPr="00EF2F69">
        <w:rPr>
          <w:rFonts w:asciiTheme="minorHAnsi" w:eastAsia="Calibri" w:hAnsiTheme="minorHAnsi" w:cstheme="minorHAnsi"/>
          <w:sz w:val="22"/>
          <w:szCs w:val="22"/>
        </w:rPr>
        <w:t>e</w:t>
      </w:r>
      <w:r w:rsidRPr="00EF2F69">
        <w:rPr>
          <w:rFonts w:asciiTheme="minorHAnsi" w:eastAsia="Calibri" w:hAnsiTheme="minorHAnsi" w:cstheme="minorHAnsi"/>
          <w:sz w:val="22"/>
          <w:szCs w:val="22"/>
        </w:rPr>
        <w:t xml:space="preserve"> di località turistica: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CC3C69" w:rsidRPr="00FC7BBB" w:rsidTr="002D78BD">
        <w:trPr>
          <w:trHeight w:val="340"/>
          <w:jc w:val="center"/>
        </w:trPr>
        <w:tc>
          <w:tcPr>
            <w:tcW w:w="2444" w:type="dxa"/>
            <w:vAlign w:val="center"/>
          </w:tcPr>
          <w:p w:rsidR="00CC3C69" w:rsidRPr="00575691" w:rsidRDefault="00B23B9D" w:rsidP="002D78BD">
            <w:pPr>
              <w:jc w:val="left"/>
              <w:rPr>
                <w:rFonts w:asciiTheme="minorHAnsi" w:eastAsia="Calibri" w:hAnsiTheme="minorHAnsi" w:cstheme="minorHAnsi"/>
                <w:sz w:val="20"/>
              </w:rPr>
            </w:pPr>
            <w:r w:rsidRPr="00575691">
              <w:rPr>
                <w:rFonts w:asciiTheme="minorHAnsi" w:eastAsia="Calibri" w:hAnsiTheme="minorHAnsi" w:cstheme="minorHAnsi"/>
                <w:caps w:val="0"/>
                <w:sz w:val="20"/>
              </w:rPr>
              <w:t xml:space="preserve">Tavola </w:t>
            </w:r>
            <w:r w:rsidRPr="00575691">
              <w:rPr>
                <w:rFonts w:asciiTheme="minorHAnsi" w:eastAsia="Calibri" w:hAnsiTheme="minorHAnsi" w:cstheme="minorHAnsi"/>
                <w:sz w:val="20"/>
              </w:rPr>
              <w:t>3</w:t>
            </w:r>
          </w:p>
        </w:tc>
        <w:tc>
          <w:tcPr>
            <w:tcW w:w="7334" w:type="dxa"/>
            <w:gridSpan w:val="3"/>
            <w:shd w:val="clear" w:color="auto" w:fill="D9D9D9" w:themeFill="background1" w:themeFillShade="D9"/>
            <w:vAlign w:val="center"/>
          </w:tcPr>
          <w:p w:rsidR="00CC3C69" w:rsidRPr="00575691" w:rsidRDefault="00CC3C69" w:rsidP="002D78BD">
            <w:pPr>
              <w:jc w:val="center"/>
              <w:rPr>
                <w:rFonts w:asciiTheme="minorHAnsi" w:eastAsia="Calibri" w:hAnsiTheme="minorHAnsi" w:cstheme="minorHAnsi"/>
                <w:caps w:val="0"/>
                <w:sz w:val="20"/>
              </w:rPr>
            </w:pPr>
            <w:r w:rsidRPr="00575691">
              <w:rPr>
                <w:rFonts w:asciiTheme="minorHAnsi" w:eastAsia="Calibri" w:hAnsiTheme="minorHAnsi" w:cstheme="minorHAnsi"/>
                <w:caps w:val="0"/>
                <w:sz w:val="20"/>
              </w:rPr>
              <w:t>Canone medio</w:t>
            </w:r>
          </w:p>
        </w:tc>
      </w:tr>
      <w:tr w:rsidR="00CC3C69" w:rsidRPr="00FC7BBB" w:rsidTr="002D78BD">
        <w:trPr>
          <w:trHeight w:val="340"/>
          <w:jc w:val="center"/>
        </w:trPr>
        <w:tc>
          <w:tcPr>
            <w:tcW w:w="2444" w:type="dxa"/>
            <w:vAlign w:val="center"/>
          </w:tcPr>
          <w:p w:rsidR="00CC3C69" w:rsidRPr="002D78BD" w:rsidRDefault="00CC3C69" w:rsidP="002D78BD">
            <w:pPr>
              <w:jc w:val="left"/>
              <w:rPr>
                <w:rFonts w:asciiTheme="minorHAnsi" w:eastAsia="Calibri" w:hAnsiTheme="minorHAnsi" w:cstheme="minorHAnsi"/>
                <w:sz w:val="20"/>
              </w:rPr>
            </w:pPr>
          </w:p>
        </w:tc>
        <w:tc>
          <w:tcPr>
            <w:tcW w:w="2444" w:type="dxa"/>
            <w:shd w:val="clear" w:color="auto" w:fill="F2F2F2" w:themeFill="background1" w:themeFillShade="F2"/>
            <w:vAlign w:val="center"/>
          </w:tcPr>
          <w:p w:rsidR="00CC3C69" w:rsidRPr="002D78BD" w:rsidRDefault="00CC3C69" w:rsidP="002D78BD">
            <w:pPr>
              <w:jc w:val="center"/>
              <w:rPr>
                <w:rFonts w:asciiTheme="minorHAnsi" w:eastAsia="Calibri" w:hAnsiTheme="minorHAnsi" w:cstheme="minorHAnsi"/>
                <w:sz w:val="20"/>
              </w:rPr>
            </w:pPr>
            <w:r w:rsidRPr="002D78BD">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rsidR="00CC3C69" w:rsidRPr="002D78BD" w:rsidRDefault="00CC3C69" w:rsidP="002D78BD">
            <w:pPr>
              <w:jc w:val="center"/>
              <w:rPr>
                <w:rFonts w:asciiTheme="minorHAnsi" w:eastAsia="Calibri" w:hAnsiTheme="minorHAnsi" w:cstheme="minorHAnsi"/>
                <w:sz w:val="20"/>
              </w:rPr>
            </w:pPr>
            <w:r w:rsidRPr="002D78BD">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rsidR="00CC3C69" w:rsidRPr="002D78BD" w:rsidRDefault="00CC3C69" w:rsidP="002D78BD">
            <w:pPr>
              <w:jc w:val="center"/>
              <w:rPr>
                <w:rFonts w:asciiTheme="minorHAnsi" w:eastAsia="Calibri" w:hAnsiTheme="minorHAnsi" w:cstheme="minorHAnsi"/>
                <w:sz w:val="20"/>
              </w:rPr>
            </w:pPr>
            <w:r w:rsidRPr="002D78BD">
              <w:rPr>
                <w:rFonts w:asciiTheme="minorHAnsi" w:eastAsia="Calibri" w:hAnsiTheme="minorHAnsi" w:cstheme="minorHAnsi"/>
                <w:caps w:val="0"/>
                <w:sz w:val="20"/>
              </w:rPr>
              <w:t>Mese di agosto</w:t>
            </w:r>
          </w:p>
        </w:tc>
      </w:tr>
      <w:tr w:rsidR="00CC3C69" w:rsidRPr="00FC7BBB" w:rsidTr="002D78BD">
        <w:trPr>
          <w:trHeight w:val="340"/>
          <w:jc w:val="center"/>
        </w:trPr>
        <w:tc>
          <w:tcPr>
            <w:tcW w:w="2444" w:type="dxa"/>
            <w:shd w:val="clear" w:color="auto" w:fill="DBE5F1" w:themeFill="accent1" w:themeFillTint="33"/>
            <w:vAlign w:val="center"/>
          </w:tcPr>
          <w:p w:rsidR="00CC3C69" w:rsidRPr="002D78BD" w:rsidRDefault="00F63B06" w:rsidP="002D78BD">
            <w:pPr>
              <w:jc w:val="left"/>
              <w:rPr>
                <w:rFonts w:asciiTheme="minorHAnsi" w:eastAsia="Calibri" w:hAnsiTheme="minorHAnsi" w:cstheme="minorHAnsi"/>
                <w:sz w:val="20"/>
              </w:rPr>
            </w:pPr>
            <w:r w:rsidRPr="002D78BD">
              <w:rPr>
                <w:rFonts w:asciiTheme="minorHAnsi" w:eastAsia="Calibri" w:hAnsiTheme="minorHAnsi" w:cstheme="minorHAnsi"/>
                <w:caps w:val="0"/>
                <w:sz w:val="20"/>
              </w:rPr>
              <w:t>Località marine</w:t>
            </w:r>
          </w:p>
        </w:tc>
        <w:tc>
          <w:tcPr>
            <w:tcW w:w="2444" w:type="dxa"/>
            <w:shd w:val="clear" w:color="auto" w:fill="DBE5F1" w:themeFill="accent1" w:themeFillTint="33"/>
            <w:vAlign w:val="center"/>
          </w:tcPr>
          <w:p w:rsidR="00CC3C69" w:rsidRPr="002D78BD" w:rsidRDefault="00707A1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335</w:t>
            </w:r>
            <w:r w:rsidR="00CC3C69" w:rsidRPr="002D78BD">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2D78BD" w:rsidRDefault="00707A1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470</w:t>
            </w:r>
            <w:r w:rsidR="00CC3C69" w:rsidRPr="002D78BD">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2D78BD" w:rsidRDefault="00707A1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580</w:t>
            </w:r>
            <w:r w:rsidR="00CC3C69" w:rsidRPr="002D78BD">
              <w:rPr>
                <w:rFonts w:asciiTheme="minorHAnsi" w:eastAsia="Calibri" w:hAnsiTheme="minorHAnsi" w:cstheme="minorHAnsi"/>
                <w:b w:val="0"/>
                <w:caps w:val="0"/>
                <w:sz w:val="20"/>
              </w:rPr>
              <w:t xml:space="preserve"> €</w:t>
            </w:r>
          </w:p>
        </w:tc>
      </w:tr>
      <w:tr w:rsidR="00CC3C69" w:rsidRPr="00FC7BBB" w:rsidTr="002D78BD">
        <w:trPr>
          <w:trHeight w:val="340"/>
          <w:jc w:val="center"/>
        </w:trPr>
        <w:tc>
          <w:tcPr>
            <w:tcW w:w="2444" w:type="dxa"/>
            <w:shd w:val="clear" w:color="auto" w:fill="DBE5F1" w:themeFill="accent1" w:themeFillTint="33"/>
            <w:vAlign w:val="center"/>
          </w:tcPr>
          <w:p w:rsidR="00CC3C69" w:rsidRPr="002D78BD" w:rsidRDefault="00F63B06" w:rsidP="002D78BD">
            <w:pPr>
              <w:jc w:val="left"/>
              <w:rPr>
                <w:rFonts w:asciiTheme="minorHAnsi" w:eastAsia="Calibri" w:hAnsiTheme="minorHAnsi" w:cstheme="minorHAnsi"/>
                <w:sz w:val="20"/>
              </w:rPr>
            </w:pPr>
            <w:r w:rsidRPr="002D78BD">
              <w:rPr>
                <w:rFonts w:asciiTheme="minorHAnsi" w:eastAsia="Calibri" w:hAnsiTheme="minorHAnsi" w:cstheme="minorHAnsi"/>
                <w:caps w:val="0"/>
                <w:sz w:val="20"/>
              </w:rPr>
              <w:t>Località montane</w:t>
            </w:r>
          </w:p>
        </w:tc>
        <w:tc>
          <w:tcPr>
            <w:tcW w:w="2444" w:type="dxa"/>
            <w:shd w:val="clear" w:color="auto" w:fill="DBE5F1" w:themeFill="accent1" w:themeFillTint="33"/>
            <w:vAlign w:val="center"/>
          </w:tcPr>
          <w:p w:rsidR="00CC3C69" w:rsidRPr="002D78BD" w:rsidRDefault="00707A1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400</w:t>
            </w:r>
            <w:r w:rsidR="00CC3C69" w:rsidRPr="002D78BD">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2D78BD" w:rsidRDefault="00707A1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575</w:t>
            </w:r>
            <w:r w:rsidR="00CC3C69" w:rsidRPr="002D78BD">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2D78BD" w:rsidRDefault="00CC3C69" w:rsidP="00707A17">
            <w:pPr>
              <w:jc w:val="center"/>
              <w:rPr>
                <w:rFonts w:asciiTheme="minorHAnsi" w:eastAsia="Calibri" w:hAnsiTheme="minorHAnsi" w:cstheme="minorHAnsi"/>
                <w:b w:val="0"/>
                <w:sz w:val="20"/>
              </w:rPr>
            </w:pPr>
            <w:r w:rsidRPr="002D78BD">
              <w:rPr>
                <w:rFonts w:asciiTheme="minorHAnsi" w:eastAsia="Calibri" w:hAnsiTheme="minorHAnsi" w:cstheme="minorHAnsi"/>
                <w:b w:val="0"/>
                <w:caps w:val="0"/>
                <w:sz w:val="20"/>
              </w:rPr>
              <w:t>7</w:t>
            </w:r>
            <w:r w:rsidR="00707A17">
              <w:rPr>
                <w:rFonts w:asciiTheme="minorHAnsi" w:eastAsia="Calibri" w:hAnsiTheme="minorHAnsi" w:cstheme="minorHAnsi"/>
                <w:b w:val="0"/>
                <w:caps w:val="0"/>
                <w:sz w:val="20"/>
              </w:rPr>
              <w:t>4</w:t>
            </w:r>
            <w:r w:rsidRPr="002D78BD">
              <w:rPr>
                <w:rFonts w:asciiTheme="minorHAnsi" w:eastAsia="Calibri" w:hAnsiTheme="minorHAnsi" w:cstheme="minorHAnsi"/>
                <w:b w:val="0"/>
                <w:caps w:val="0"/>
                <w:sz w:val="20"/>
              </w:rPr>
              <w:t>0 €</w:t>
            </w:r>
          </w:p>
        </w:tc>
      </w:tr>
    </w:tbl>
    <w:p w:rsidR="008D7331" w:rsidRPr="008D7331" w:rsidRDefault="008D7331" w:rsidP="008D7331">
      <w:pPr>
        <w:spacing w:before="60"/>
        <w:rPr>
          <w:rFonts w:asciiTheme="minorHAnsi" w:eastAsia="Calibri" w:hAnsiTheme="minorHAnsi" w:cstheme="minorHAnsi"/>
          <w:sz w:val="18"/>
        </w:rPr>
      </w:pPr>
      <w:r w:rsidRPr="00AC5889">
        <w:rPr>
          <w:rFonts w:asciiTheme="minorHAnsi" w:eastAsia="Calibri" w:hAnsiTheme="minorHAnsi" w:cstheme="minorHAnsi"/>
          <w:sz w:val="18"/>
        </w:rPr>
        <w:t xml:space="preserve">Fonte: Nomisma e </w:t>
      </w:r>
      <w:proofErr w:type="spellStart"/>
      <w:r w:rsidRPr="00AC5889">
        <w:rPr>
          <w:rFonts w:asciiTheme="minorHAnsi" w:eastAsia="Calibri" w:hAnsiTheme="minorHAnsi" w:cstheme="minorHAnsi"/>
          <w:sz w:val="18"/>
        </w:rPr>
        <w:t>Fimaa</w:t>
      </w:r>
      <w:proofErr w:type="spellEnd"/>
      <w:r w:rsidR="00AC5889">
        <w:rPr>
          <w:rFonts w:asciiTheme="minorHAnsi" w:eastAsia="Calibri" w:hAnsiTheme="minorHAnsi" w:cstheme="minorHAnsi"/>
          <w:sz w:val="18"/>
        </w:rPr>
        <w:t>-Confcommercio</w:t>
      </w:r>
    </w:p>
    <w:p w:rsidR="00CC3C69" w:rsidRDefault="00CC3C69" w:rsidP="00364602">
      <w:pPr>
        <w:rPr>
          <w:rFonts w:asciiTheme="minorHAnsi" w:eastAsia="Calibri" w:hAnsiTheme="minorHAnsi" w:cstheme="minorHAnsi"/>
          <w:szCs w:val="24"/>
        </w:rPr>
      </w:pPr>
    </w:p>
    <w:p w:rsidR="00B23B9D" w:rsidRPr="00EF2F69" w:rsidRDefault="00F63B06"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U</w:t>
      </w:r>
      <w:r w:rsidR="000B0BCD" w:rsidRPr="00EF2F69">
        <w:rPr>
          <w:rFonts w:asciiTheme="minorHAnsi" w:eastAsia="Calibri" w:hAnsiTheme="minorHAnsi" w:cstheme="minorHAnsi"/>
          <w:sz w:val="22"/>
          <w:szCs w:val="22"/>
        </w:rPr>
        <w:t>n’ultima annotazione</w:t>
      </w:r>
      <w:r w:rsidRPr="00EF2F69">
        <w:rPr>
          <w:rFonts w:asciiTheme="minorHAnsi" w:eastAsia="Calibri" w:hAnsiTheme="minorHAnsi" w:cstheme="minorHAnsi"/>
          <w:sz w:val="22"/>
          <w:szCs w:val="22"/>
        </w:rPr>
        <w:t xml:space="preserve"> riguarda, infine, le motivazioni </w:t>
      </w:r>
      <w:r w:rsidR="00B23B9D" w:rsidRPr="00EF2F69">
        <w:rPr>
          <w:rFonts w:asciiTheme="minorHAnsi" w:eastAsia="Calibri" w:hAnsiTheme="minorHAnsi" w:cstheme="minorHAnsi"/>
          <w:sz w:val="22"/>
          <w:szCs w:val="22"/>
        </w:rPr>
        <w:t>all’acquisto</w:t>
      </w:r>
      <w:r w:rsidRPr="00EF2F69">
        <w:rPr>
          <w:rFonts w:asciiTheme="minorHAnsi" w:eastAsia="Calibri" w:hAnsiTheme="minorHAnsi" w:cstheme="minorHAnsi"/>
          <w:sz w:val="22"/>
          <w:szCs w:val="22"/>
        </w:rPr>
        <w:t xml:space="preserve">: il mercato residenziale </w:t>
      </w:r>
      <w:r w:rsidR="000B0BCD" w:rsidRPr="00EF2F69">
        <w:rPr>
          <w:rFonts w:asciiTheme="minorHAnsi" w:eastAsia="Calibri" w:hAnsiTheme="minorHAnsi" w:cstheme="minorHAnsi"/>
          <w:sz w:val="22"/>
          <w:szCs w:val="22"/>
        </w:rPr>
        <w:t>nelle località turistiche è movimentato</w:t>
      </w:r>
      <w:r w:rsidR="00707A17" w:rsidRPr="00EF2F69">
        <w:rPr>
          <w:rFonts w:asciiTheme="minorHAnsi" w:eastAsia="Calibri" w:hAnsiTheme="minorHAnsi" w:cstheme="minorHAnsi"/>
          <w:sz w:val="22"/>
          <w:szCs w:val="22"/>
        </w:rPr>
        <w:t>,</w:t>
      </w:r>
      <w:r w:rsidR="00897A38" w:rsidRPr="00EF2F69">
        <w:rPr>
          <w:rFonts w:asciiTheme="minorHAnsi" w:eastAsia="Calibri" w:hAnsiTheme="minorHAnsi" w:cstheme="minorHAnsi"/>
          <w:sz w:val="22"/>
          <w:szCs w:val="22"/>
        </w:rPr>
        <w:t xml:space="preserve"> </w:t>
      </w:r>
      <w:r w:rsidR="00707A17" w:rsidRPr="00EF2F69">
        <w:rPr>
          <w:rFonts w:asciiTheme="minorHAnsi" w:eastAsia="Calibri" w:hAnsiTheme="minorHAnsi" w:cstheme="minorHAnsi"/>
          <w:sz w:val="22"/>
          <w:szCs w:val="22"/>
        </w:rPr>
        <w:t xml:space="preserve">per una quota che oscilla tra il 70-80%, </w:t>
      </w:r>
      <w:r w:rsidR="00897A38" w:rsidRPr="00EF2F69">
        <w:rPr>
          <w:rFonts w:asciiTheme="minorHAnsi" w:eastAsia="Calibri" w:hAnsiTheme="minorHAnsi" w:cstheme="minorHAnsi"/>
          <w:sz w:val="22"/>
          <w:szCs w:val="22"/>
        </w:rPr>
        <w:t>dagli acquisti per utilizzo diretto</w:t>
      </w:r>
      <w:r w:rsidR="00B23B9D" w:rsidRPr="00EF2F69">
        <w:rPr>
          <w:rFonts w:asciiTheme="minorHAnsi" w:eastAsia="Calibri" w:hAnsiTheme="minorHAnsi" w:cstheme="minorHAnsi"/>
          <w:sz w:val="22"/>
          <w:szCs w:val="22"/>
        </w:rPr>
        <w:t>,</w:t>
      </w:r>
      <w:r w:rsidR="000B0BCD" w:rsidRPr="00EF2F69">
        <w:rPr>
          <w:rFonts w:asciiTheme="minorHAnsi" w:eastAsia="Calibri" w:hAnsiTheme="minorHAnsi" w:cstheme="minorHAnsi"/>
          <w:sz w:val="22"/>
          <w:szCs w:val="22"/>
        </w:rPr>
        <w:t xml:space="preserve"> </w:t>
      </w:r>
      <w:r w:rsidR="00B23B9D" w:rsidRPr="00EF2F69">
        <w:rPr>
          <w:rFonts w:asciiTheme="minorHAnsi" w:eastAsia="Calibri" w:hAnsiTheme="minorHAnsi" w:cstheme="minorHAnsi"/>
          <w:sz w:val="22"/>
          <w:szCs w:val="22"/>
        </w:rPr>
        <w:t xml:space="preserve">mentre il </w:t>
      </w:r>
      <w:r w:rsidR="00897A38" w:rsidRPr="00EF2F69">
        <w:rPr>
          <w:rFonts w:asciiTheme="minorHAnsi" w:eastAsia="Calibri" w:hAnsiTheme="minorHAnsi" w:cstheme="minorHAnsi"/>
          <w:sz w:val="22"/>
          <w:szCs w:val="22"/>
        </w:rPr>
        <w:t xml:space="preserve">restante </w:t>
      </w:r>
      <w:r w:rsidR="00B23B9D" w:rsidRPr="00EF2F69">
        <w:rPr>
          <w:rFonts w:asciiTheme="minorHAnsi" w:eastAsia="Calibri" w:hAnsiTheme="minorHAnsi" w:cstheme="minorHAnsi"/>
          <w:sz w:val="22"/>
          <w:szCs w:val="22"/>
        </w:rPr>
        <w:t>2</w:t>
      </w:r>
      <w:r w:rsidR="000B0BCD" w:rsidRPr="00EF2F69">
        <w:rPr>
          <w:rFonts w:asciiTheme="minorHAnsi" w:eastAsia="Calibri" w:hAnsiTheme="minorHAnsi" w:cstheme="minorHAnsi"/>
          <w:sz w:val="22"/>
          <w:szCs w:val="22"/>
        </w:rPr>
        <w:t>0-</w:t>
      </w:r>
      <w:r w:rsidR="00B23B9D" w:rsidRPr="00EF2F69">
        <w:rPr>
          <w:rFonts w:asciiTheme="minorHAnsi" w:eastAsia="Calibri" w:hAnsiTheme="minorHAnsi" w:cstheme="minorHAnsi"/>
          <w:sz w:val="22"/>
          <w:szCs w:val="22"/>
        </w:rPr>
        <w:t>3</w:t>
      </w:r>
      <w:r w:rsidR="000B0BCD" w:rsidRPr="00EF2F69">
        <w:rPr>
          <w:rFonts w:asciiTheme="minorHAnsi" w:eastAsia="Calibri" w:hAnsiTheme="minorHAnsi" w:cstheme="minorHAnsi"/>
          <w:sz w:val="22"/>
          <w:szCs w:val="22"/>
        </w:rPr>
        <w:t xml:space="preserve">0% del mercato </w:t>
      </w:r>
      <w:r w:rsidRPr="00EF2F69">
        <w:rPr>
          <w:rFonts w:asciiTheme="minorHAnsi" w:eastAsia="Calibri" w:hAnsiTheme="minorHAnsi" w:cstheme="minorHAnsi"/>
          <w:sz w:val="22"/>
          <w:szCs w:val="22"/>
        </w:rPr>
        <w:t>è alimentato da</w:t>
      </w:r>
      <w:r w:rsidR="000B0BCD" w:rsidRPr="00EF2F69">
        <w:rPr>
          <w:rFonts w:asciiTheme="minorHAnsi" w:eastAsia="Calibri" w:hAnsiTheme="minorHAnsi" w:cstheme="minorHAnsi"/>
          <w:sz w:val="22"/>
          <w:szCs w:val="22"/>
        </w:rPr>
        <w:t xml:space="preserve"> finalità di investimento.</w:t>
      </w:r>
    </w:p>
    <w:p w:rsidR="00575691" w:rsidRDefault="00F63B06" w:rsidP="00364602">
      <w:pPr>
        <w:rPr>
          <w:rFonts w:asciiTheme="minorHAnsi" w:eastAsia="Calibri" w:hAnsiTheme="minorHAnsi" w:cstheme="minorHAnsi"/>
          <w:sz w:val="22"/>
          <w:szCs w:val="22"/>
        </w:rPr>
      </w:pPr>
      <w:r w:rsidRPr="00EF2F69">
        <w:rPr>
          <w:rFonts w:asciiTheme="minorHAnsi" w:eastAsia="Calibri" w:hAnsiTheme="minorHAnsi" w:cstheme="minorHAnsi"/>
          <w:sz w:val="22"/>
          <w:szCs w:val="22"/>
        </w:rPr>
        <w:t>I</w:t>
      </w:r>
      <w:r w:rsidR="000B0BCD" w:rsidRPr="00EF2F69">
        <w:rPr>
          <w:rFonts w:asciiTheme="minorHAnsi" w:eastAsia="Calibri" w:hAnsiTheme="minorHAnsi" w:cstheme="minorHAnsi"/>
          <w:sz w:val="22"/>
          <w:szCs w:val="22"/>
        </w:rPr>
        <w:t>n questo segmento di mercato</w:t>
      </w:r>
      <w:r w:rsidRPr="00EF2F69">
        <w:rPr>
          <w:rFonts w:asciiTheme="minorHAnsi" w:eastAsia="Calibri" w:hAnsiTheme="minorHAnsi" w:cstheme="minorHAnsi"/>
          <w:sz w:val="22"/>
          <w:szCs w:val="22"/>
        </w:rPr>
        <w:t xml:space="preserve">, infine, </w:t>
      </w:r>
      <w:r w:rsidR="00897A38" w:rsidRPr="00EF2F69">
        <w:rPr>
          <w:rFonts w:asciiTheme="minorHAnsi" w:eastAsia="Calibri" w:hAnsiTheme="minorHAnsi" w:cstheme="minorHAnsi"/>
          <w:sz w:val="22"/>
          <w:szCs w:val="22"/>
        </w:rPr>
        <w:t xml:space="preserve">è </w:t>
      </w:r>
      <w:r w:rsidRPr="00EF2F69">
        <w:rPr>
          <w:rFonts w:asciiTheme="minorHAnsi" w:eastAsia="Calibri" w:hAnsiTheme="minorHAnsi" w:cstheme="minorHAnsi"/>
          <w:sz w:val="22"/>
          <w:szCs w:val="22"/>
        </w:rPr>
        <w:t>molto esiguo l’interesse</w:t>
      </w:r>
      <w:r w:rsidR="000B0BCD" w:rsidRPr="00EF2F69">
        <w:rPr>
          <w:rFonts w:asciiTheme="minorHAnsi" w:eastAsia="Calibri" w:hAnsiTheme="minorHAnsi" w:cstheme="minorHAnsi"/>
          <w:sz w:val="22"/>
          <w:szCs w:val="22"/>
        </w:rPr>
        <w:t xml:space="preserve"> per abitazioni ad elevata prestazione energetica</w:t>
      </w:r>
      <w:r w:rsidRPr="00EF2F69">
        <w:rPr>
          <w:rFonts w:asciiTheme="minorHAnsi" w:eastAsia="Calibri" w:hAnsiTheme="minorHAnsi" w:cstheme="minorHAnsi"/>
          <w:sz w:val="22"/>
          <w:szCs w:val="22"/>
        </w:rPr>
        <w:t>,</w:t>
      </w:r>
      <w:r w:rsidR="000B0BCD" w:rsidRPr="00EF2F69">
        <w:rPr>
          <w:rFonts w:asciiTheme="minorHAnsi" w:eastAsia="Calibri" w:hAnsiTheme="minorHAnsi" w:cstheme="minorHAnsi"/>
          <w:sz w:val="22"/>
          <w:szCs w:val="22"/>
        </w:rPr>
        <w:t xml:space="preserve"> a differenza di quanto accade ne</w:t>
      </w:r>
      <w:r w:rsidRPr="00EF2F69">
        <w:rPr>
          <w:rFonts w:asciiTheme="minorHAnsi" w:eastAsia="Calibri" w:hAnsiTheme="minorHAnsi" w:cstheme="minorHAnsi"/>
          <w:sz w:val="22"/>
          <w:szCs w:val="22"/>
        </w:rPr>
        <w:t>i</w:t>
      </w:r>
      <w:r w:rsidR="000B0BCD" w:rsidRPr="00EF2F69">
        <w:rPr>
          <w:rFonts w:asciiTheme="minorHAnsi" w:eastAsia="Calibri" w:hAnsiTheme="minorHAnsi" w:cstheme="minorHAnsi"/>
          <w:sz w:val="22"/>
          <w:szCs w:val="22"/>
        </w:rPr>
        <w:t xml:space="preserve"> mercat</w:t>
      </w:r>
      <w:r w:rsidRPr="00EF2F69">
        <w:rPr>
          <w:rFonts w:asciiTheme="minorHAnsi" w:eastAsia="Calibri" w:hAnsiTheme="minorHAnsi" w:cstheme="minorHAnsi"/>
          <w:sz w:val="22"/>
          <w:szCs w:val="22"/>
        </w:rPr>
        <w:t>i</w:t>
      </w:r>
      <w:r w:rsidR="000B0BCD" w:rsidRPr="00EF2F69">
        <w:rPr>
          <w:rFonts w:asciiTheme="minorHAnsi" w:eastAsia="Calibri" w:hAnsiTheme="minorHAnsi" w:cstheme="minorHAnsi"/>
          <w:sz w:val="22"/>
          <w:szCs w:val="22"/>
        </w:rPr>
        <w:t xml:space="preserve"> urban</w:t>
      </w:r>
      <w:r w:rsidRPr="00EF2F69">
        <w:rPr>
          <w:rFonts w:asciiTheme="minorHAnsi" w:eastAsia="Calibri" w:hAnsiTheme="minorHAnsi" w:cstheme="minorHAnsi"/>
          <w:sz w:val="22"/>
          <w:szCs w:val="22"/>
        </w:rPr>
        <w:t>i</w:t>
      </w:r>
      <w:r w:rsidR="000B0BCD" w:rsidRPr="00EF2F69">
        <w:rPr>
          <w:rFonts w:asciiTheme="minorHAnsi" w:eastAsia="Calibri" w:hAnsiTheme="minorHAnsi" w:cstheme="minorHAnsi"/>
          <w:sz w:val="22"/>
          <w:szCs w:val="22"/>
        </w:rPr>
        <w:t>.</w:t>
      </w:r>
    </w:p>
    <w:p w:rsidR="00575691" w:rsidRDefault="00575691">
      <w:pPr>
        <w:spacing w:after="200" w:line="276" w:lineRule="auto"/>
        <w:jc w:val="left"/>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F335F2" w:rsidRDefault="00F335F2" w:rsidP="00F335F2">
      <w:pPr>
        <w:jc w:val="left"/>
        <w:rPr>
          <w:rFonts w:asciiTheme="minorHAnsi" w:eastAsia="Calibri" w:hAnsiTheme="minorHAnsi" w:cstheme="minorHAnsi"/>
          <w:color w:val="1F497D" w:themeColor="text2"/>
          <w:sz w:val="32"/>
          <w:szCs w:val="32"/>
        </w:rPr>
      </w:pPr>
    </w:p>
    <w:p w:rsidR="002D78BD" w:rsidRDefault="00575691" w:rsidP="00575691">
      <w:pPr>
        <w:shd w:val="clear" w:color="auto" w:fill="D9D9D9" w:themeFill="background1" w:themeFillShade="D9"/>
        <w:jc w:val="left"/>
        <w:rPr>
          <w:rFonts w:asciiTheme="minorHAnsi" w:eastAsia="Calibri" w:hAnsiTheme="minorHAnsi" w:cstheme="minorHAnsi"/>
          <w:color w:val="1F497D" w:themeColor="text2"/>
          <w:sz w:val="32"/>
          <w:szCs w:val="32"/>
        </w:rPr>
      </w:pPr>
      <w:r w:rsidRPr="00575691">
        <w:rPr>
          <w:rFonts w:asciiTheme="minorHAnsi" w:eastAsia="Calibri" w:hAnsiTheme="minorHAnsi" w:cstheme="minorHAnsi"/>
          <w:color w:val="1F497D" w:themeColor="text2"/>
          <w:sz w:val="32"/>
          <w:szCs w:val="32"/>
        </w:rPr>
        <w:t>APPENDICE STATISTICA</w:t>
      </w:r>
    </w:p>
    <w:p w:rsidR="00575691" w:rsidRPr="00575691" w:rsidRDefault="00575691" w:rsidP="00575691">
      <w:pPr>
        <w:jc w:val="left"/>
        <w:rPr>
          <w:rFonts w:asciiTheme="minorHAnsi" w:eastAsia="Calibri" w:hAnsiTheme="minorHAnsi" w:cstheme="minorHAnsi"/>
          <w:color w:val="1F497D" w:themeColor="text2"/>
          <w:sz w:val="22"/>
          <w:szCs w:val="22"/>
        </w:rPr>
      </w:pPr>
    </w:p>
    <w:p w:rsidR="00C61B0B" w:rsidRDefault="00C61B0B" w:rsidP="00575691">
      <w:pPr>
        <w:jc w:val="right"/>
        <w:rPr>
          <w:rFonts w:ascii="Calibri" w:hAnsi="Calibri" w:cs="Arial"/>
          <w:b/>
          <w:bCs/>
          <w:color w:val="000000"/>
          <w:sz w:val="22"/>
          <w:szCs w:val="22"/>
        </w:rPr>
      </w:pPr>
    </w:p>
    <w:p w:rsidR="00575691" w:rsidRDefault="00575691" w:rsidP="00575691">
      <w:pPr>
        <w:spacing w:before="120"/>
        <w:jc w:val="left"/>
        <w:rPr>
          <w:rFonts w:ascii="Calibri" w:hAnsi="Calibri" w:cs="Arial"/>
          <w:b/>
          <w:bCs/>
          <w:color w:val="000000"/>
          <w:szCs w:val="22"/>
        </w:rPr>
      </w:pPr>
    </w:p>
    <w:p w:rsidR="00F335F2" w:rsidRDefault="00F335F2" w:rsidP="00575691">
      <w:pPr>
        <w:jc w:val="right"/>
        <w:rPr>
          <w:rFonts w:ascii="Calibri" w:hAnsi="Calibri" w:cs="Arial"/>
          <w:b/>
          <w:bCs/>
          <w:color w:val="000000"/>
          <w:sz w:val="22"/>
          <w:szCs w:val="22"/>
        </w:rPr>
      </w:pPr>
    </w:p>
    <w:p w:rsidR="00575691" w:rsidRPr="002D3762" w:rsidRDefault="00575691" w:rsidP="00575691">
      <w:pPr>
        <w:jc w:val="right"/>
        <w:rPr>
          <w:rFonts w:ascii="Calibri" w:hAnsi="Calibri" w:cs="Arial"/>
          <w:b/>
          <w:bCs/>
          <w:color w:val="000000"/>
          <w:sz w:val="22"/>
          <w:szCs w:val="22"/>
        </w:rPr>
      </w:pPr>
      <w:r w:rsidRPr="002D3762">
        <w:rPr>
          <w:rFonts w:ascii="Calibri" w:hAnsi="Calibri" w:cs="Arial"/>
          <w:b/>
          <w:bCs/>
          <w:color w:val="000000"/>
          <w:sz w:val="22"/>
          <w:szCs w:val="22"/>
        </w:rPr>
        <w:t xml:space="preserve">Tavola </w:t>
      </w:r>
      <w:r w:rsidR="00915F00">
        <w:rPr>
          <w:rFonts w:ascii="Calibri" w:hAnsi="Calibri" w:cs="Arial"/>
          <w:b/>
          <w:bCs/>
          <w:color w:val="000000"/>
          <w:sz w:val="22"/>
          <w:szCs w:val="22"/>
        </w:rPr>
        <w:t>A</w:t>
      </w:r>
    </w:p>
    <w:p w:rsidR="00575691" w:rsidRPr="002D3762" w:rsidRDefault="00575691" w:rsidP="00575691">
      <w:pPr>
        <w:jc w:val="center"/>
        <w:rPr>
          <w:rFonts w:ascii="Calibri" w:hAnsi="Calibri" w:cs="Arial"/>
          <w:b/>
          <w:bCs/>
          <w:color w:val="FF0000"/>
          <w:sz w:val="22"/>
          <w:szCs w:val="22"/>
        </w:rPr>
      </w:pPr>
    </w:p>
    <w:p w:rsidR="00575691" w:rsidRPr="002D3762" w:rsidRDefault="00575691" w:rsidP="00575691">
      <w:pPr>
        <w:jc w:val="center"/>
        <w:rPr>
          <w:rFonts w:ascii="Calibri" w:hAnsi="Calibri" w:cs="Arial"/>
          <w:bCs/>
          <w:i/>
          <w:sz w:val="22"/>
          <w:szCs w:val="22"/>
        </w:rPr>
      </w:pPr>
      <w:r w:rsidRPr="002D3762">
        <w:rPr>
          <w:rFonts w:ascii="Calibri" w:hAnsi="Calibri" w:cs="Arial"/>
          <w:b/>
          <w:bCs/>
          <w:sz w:val="22"/>
          <w:szCs w:val="22"/>
        </w:rPr>
        <w:t xml:space="preserve">Località che, rispetto al 2013, non </w:t>
      </w:r>
      <w:r w:rsidRPr="00B41D26">
        <w:rPr>
          <w:rFonts w:ascii="Calibri" w:hAnsi="Calibri" w:cs="Arial"/>
          <w:b/>
          <w:bCs/>
          <w:sz w:val="22"/>
          <w:szCs w:val="22"/>
        </w:rPr>
        <w:t xml:space="preserve">hanno </w:t>
      </w:r>
      <w:r w:rsidR="00B21983" w:rsidRPr="00B41D26">
        <w:rPr>
          <w:rFonts w:ascii="Calibri" w:hAnsi="Calibri" w:cs="Arial"/>
          <w:b/>
          <w:bCs/>
          <w:sz w:val="22"/>
          <w:szCs w:val="22"/>
        </w:rPr>
        <w:t>registrato</w:t>
      </w:r>
      <w:r w:rsidRPr="00B41D26">
        <w:rPr>
          <w:rFonts w:ascii="Calibri" w:hAnsi="Calibri" w:cs="Arial"/>
          <w:b/>
          <w:bCs/>
          <w:sz w:val="22"/>
          <w:szCs w:val="22"/>
        </w:rPr>
        <w:t xml:space="preserve"> </w:t>
      </w:r>
      <w:r w:rsidR="00B21983" w:rsidRPr="00B41D26">
        <w:rPr>
          <w:rFonts w:ascii="Calibri" w:hAnsi="Calibri" w:cs="Arial"/>
          <w:b/>
          <w:bCs/>
          <w:sz w:val="22"/>
          <w:szCs w:val="22"/>
        </w:rPr>
        <w:t>cali</w:t>
      </w:r>
      <w:r w:rsidRPr="00B41D26">
        <w:rPr>
          <w:rFonts w:ascii="Calibri" w:hAnsi="Calibri" w:cs="Arial"/>
          <w:b/>
          <w:bCs/>
          <w:sz w:val="22"/>
          <w:szCs w:val="22"/>
        </w:rPr>
        <w:t xml:space="preserve"> dei prezzi medi</w:t>
      </w:r>
      <w:r w:rsidR="00B21983" w:rsidRPr="00B41D26">
        <w:rPr>
          <w:rFonts w:ascii="Calibri" w:hAnsi="Calibri" w:cs="Arial"/>
          <w:b/>
          <w:bCs/>
          <w:sz w:val="22"/>
          <w:szCs w:val="22"/>
        </w:rPr>
        <w:t xml:space="preserve"> di compravendita</w:t>
      </w:r>
      <w:r w:rsidRPr="002D3762">
        <w:rPr>
          <w:rFonts w:ascii="Calibri" w:hAnsi="Calibri" w:cs="Arial"/>
          <w:b/>
          <w:bCs/>
          <w:sz w:val="22"/>
          <w:szCs w:val="22"/>
        </w:rPr>
        <w:t xml:space="preserve"> </w:t>
      </w:r>
      <w:r w:rsidRPr="002D3762">
        <w:rPr>
          <w:rFonts w:ascii="Calibri" w:hAnsi="Calibri" w:cs="Arial"/>
          <w:bCs/>
          <w:i/>
          <w:sz w:val="22"/>
          <w:szCs w:val="22"/>
        </w:rPr>
        <w:t>(valori %)</w:t>
      </w:r>
      <w:r w:rsidR="00F56574">
        <w:rPr>
          <w:rFonts w:ascii="Calibri" w:hAnsi="Calibri" w:cs="Arial"/>
          <w:bCs/>
          <w:i/>
          <w:sz w:val="22"/>
          <w:szCs w:val="22"/>
        </w:rPr>
        <w:t xml:space="preserve"> </w:t>
      </w:r>
      <w:r w:rsidR="00B41D26">
        <w:rPr>
          <w:rFonts w:ascii="Calibri" w:hAnsi="Calibri" w:cs="Arial"/>
          <w:bCs/>
          <w:i/>
          <w:sz w:val="22"/>
          <w:szCs w:val="22"/>
        </w:rPr>
        <w:t xml:space="preserve"> </w:t>
      </w:r>
    </w:p>
    <w:p w:rsidR="00575691" w:rsidRPr="009C28DE" w:rsidRDefault="00575691" w:rsidP="00575691">
      <w:pPr>
        <w:pStyle w:val="Default"/>
        <w:jc w:val="center"/>
      </w:pPr>
    </w:p>
    <w:p w:rsidR="00575691" w:rsidRPr="002D3762" w:rsidRDefault="00575691" w:rsidP="002D3762">
      <w:pPr>
        <w:pStyle w:val="Default"/>
        <w:pBdr>
          <w:top w:val="single" w:sz="12" w:space="1" w:color="1F497D" w:themeColor="text2"/>
        </w:pBdr>
        <w:shd w:val="clear" w:color="auto" w:fill="D9D9D9" w:themeFill="background1" w:themeFillShade="D9"/>
        <w:spacing w:after="120"/>
        <w:jc w:val="center"/>
        <w:rPr>
          <w:sz w:val="20"/>
          <w:szCs w:val="20"/>
        </w:rPr>
      </w:pPr>
      <w:r w:rsidRPr="002D3762">
        <w:rPr>
          <w:b/>
          <w:bCs/>
          <w:sz w:val="20"/>
          <w:szCs w:val="20"/>
        </w:rPr>
        <w:t>Aggiustamenti positivi dei prezzi medi</w:t>
      </w:r>
    </w:p>
    <w:p w:rsidR="00575691" w:rsidRPr="002D3762" w:rsidRDefault="00575691" w:rsidP="002D3762">
      <w:pPr>
        <w:pStyle w:val="Default"/>
        <w:spacing w:after="120"/>
        <w:jc w:val="center"/>
        <w:rPr>
          <w:sz w:val="20"/>
          <w:szCs w:val="20"/>
        </w:rPr>
      </w:pPr>
      <w:r w:rsidRPr="002D3762">
        <w:rPr>
          <w:sz w:val="20"/>
          <w:szCs w:val="20"/>
        </w:rPr>
        <w:t>Policoro (MT): 15,0%, Valdaora (BZ): 0,5%, Brunico (BZ): 0,4%,</w:t>
      </w:r>
      <w:r w:rsidRPr="002D3762">
        <w:rPr>
          <w:sz w:val="20"/>
          <w:szCs w:val="20"/>
        </w:rPr>
        <w:br/>
        <w:t xml:space="preserve">Follonica (GR): 0,3%, </w:t>
      </w:r>
      <w:proofErr w:type="spellStart"/>
      <w:r w:rsidRPr="002D3762">
        <w:rPr>
          <w:sz w:val="20"/>
          <w:szCs w:val="20"/>
        </w:rPr>
        <w:t>Principina</w:t>
      </w:r>
      <w:proofErr w:type="spellEnd"/>
      <w:r w:rsidRPr="002D3762">
        <w:rPr>
          <w:sz w:val="20"/>
          <w:szCs w:val="20"/>
        </w:rPr>
        <w:t xml:space="preserve"> a Mare (GR): 0,2%</w:t>
      </w:r>
    </w:p>
    <w:p w:rsidR="00575691" w:rsidRPr="002D3762" w:rsidRDefault="00575691" w:rsidP="002D3762">
      <w:pPr>
        <w:pStyle w:val="Default"/>
        <w:shd w:val="clear" w:color="auto" w:fill="D9D9D9" w:themeFill="background1" w:themeFillShade="D9"/>
        <w:spacing w:after="120"/>
        <w:jc w:val="center"/>
        <w:rPr>
          <w:sz w:val="20"/>
          <w:szCs w:val="20"/>
        </w:rPr>
      </w:pPr>
      <w:r w:rsidRPr="002D3762">
        <w:rPr>
          <w:b/>
          <w:bCs/>
          <w:sz w:val="20"/>
          <w:szCs w:val="20"/>
        </w:rPr>
        <w:t>Variazioni % nulle</w:t>
      </w:r>
    </w:p>
    <w:p w:rsidR="00575691" w:rsidRPr="002D3762" w:rsidRDefault="00575691" w:rsidP="002D3762">
      <w:pPr>
        <w:pStyle w:val="Default"/>
        <w:spacing w:after="120"/>
        <w:jc w:val="center"/>
        <w:rPr>
          <w:sz w:val="20"/>
          <w:szCs w:val="20"/>
        </w:rPr>
      </w:pPr>
      <w:r w:rsidRPr="002D3762">
        <w:rPr>
          <w:b/>
          <w:bCs/>
          <w:sz w:val="20"/>
          <w:szCs w:val="20"/>
        </w:rPr>
        <w:t>Località di mare</w:t>
      </w:r>
    </w:p>
    <w:p w:rsidR="00575691" w:rsidRPr="002D3762" w:rsidRDefault="00575691" w:rsidP="002D3762">
      <w:pPr>
        <w:spacing w:after="120"/>
        <w:jc w:val="center"/>
        <w:rPr>
          <w:rFonts w:ascii="Calibri" w:hAnsi="Calibri" w:cs="Arial"/>
          <w:color w:val="000000"/>
          <w:sz w:val="20"/>
        </w:rPr>
      </w:pPr>
      <w:r w:rsidRPr="002D3762">
        <w:rPr>
          <w:rFonts w:ascii="Calibri" w:hAnsi="Calibri" w:cs="Arial"/>
          <w:color w:val="000000"/>
          <w:sz w:val="20"/>
        </w:rPr>
        <w:t xml:space="preserve">Reggio Calabria (RC), Roccella Ionica (RC), Scilla (RC), </w:t>
      </w:r>
      <w:r w:rsidRPr="002D3762">
        <w:rPr>
          <w:rFonts w:ascii="Calibri" w:hAnsi="Calibri"/>
          <w:sz w:val="20"/>
        </w:rPr>
        <w:t>Castellabate (SA)</w:t>
      </w:r>
      <w:r w:rsidRPr="002D3762">
        <w:rPr>
          <w:rFonts w:ascii="Calibri" w:hAnsi="Calibri" w:cs="Arial"/>
          <w:color w:val="000000"/>
          <w:sz w:val="20"/>
        </w:rPr>
        <w:t xml:space="preserve">, Positano (SA), Sapri (SA), </w:t>
      </w:r>
      <w:r w:rsidRPr="002D3762">
        <w:rPr>
          <w:rFonts w:ascii="Calibri" w:hAnsi="Calibri"/>
          <w:sz w:val="20"/>
        </w:rPr>
        <w:t>Sistiana Mare Porto Piccolo (TS)</w:t>
      </w:r>
      <w:r w:rsidRPr="002D3762">
        <w:rPr>
          <w:rFonts w:ascii="Calibri" w:hAnsi="Calibri" w:cs="Arial"/>
          <w:color w:val="000000"/>
          <w:sz w:val="20"/>
        </w:rPr>
        <w:t xml:space="preserve">, Castiadas (CA), Muravera (CA), Olia Speciosa (CA), Villasimius (CA), Cabras (OR), Dorgali (OR), Las Arenas (OR), </w:t>
      </w:r>
      <w:proofErr w:type="spellStart"/>
      <w:r w:rsidRPr="002D3762">
        <w:rPr>
          <w:rFonts w:ascii="Calibri" w:hAnsi="Calibri" w:cs="Arial"/>
          <w:color w:val="000000"/>
          <w:sz w:val="20"/>
        </w:rPr>
        <w:t>Putzu-Idu</w:t>
      </w:r>
      <w:proofErr w:type="spellEnd"/>
      <w:r w:rsidRPr="002D3762">
        <w:rPr>
          <w:rFonts w:ascii="Calibri" w:hAnsi="Calibri" w:cs="Arial"/>
          <w:color w:val="000000"/>
          <w:sz w:val="20"/>
        </w:rPr>
        <w:t xml:space="preserve"> (OR), S’</w:t>
      </w:r>
      <w:proofErr w:type="spellStart"/>
      <w:r w:rsidRPr="002D3762">
        <w:rPr>
          <w:rFonts w:ascii="Calibri" w:hAnsi="Calibri" w:cs="Arial"/>
          <w:color w:val="000000"/>
          <w:sz w:val="20"/>
        </w:rPr>
        <w:t>Archittu</w:t>
      </w:r>
      <w:proofErr w:type="spellEnd"/>
      <w:r w:rsidRPr="002D3762">
        <w:rPr>
          <w:rFonts w:ascii="Calibri" w:hAnsi="Calibri" w:cs="Arial"/>
          <w:color w:val="000000"/>
          <w:sz w:val="20"/>
        </w:rPr>
        <w:t xml:space="preserve"> (OR), Arzachena (OT), La Maddalena (OT), Palau (OT), Santa Teresa (OT), Alghero Centro (SS), Alghero Lido (SS), Castelsardo (SS), Stintino (SS), Castiglione della Pescaia (GR), Marina di Grosseto (GR), Monte Argentario (GR), Portoferraio (LI), San Vincenzo (LI), Forte dei Marmi (LU), Marina di Pisa (PI), Tirrenia (PI)</w:t>
      </w:r>
    </w:p>
    <w:p w:rsidR="00575691" w:rsidRPr="002D3762" w:rsidRDefault="00575691" w:rsidP="002D3762">
      <w:pPr>
        <w:pStyle w:val="Default"/>
        <w:spacing w:after="120"/>
        <w:jc w:val="center"/>
        <w:rPr>
          <w:sz w:val="20"/>
          <w:szCs w:val="20"/>
        </w:rPr>
      </w:pPr>
      <w:r w:rsidRPr="002D3762">
        <w:rPr>
          <w:b/>
          <w:bCs/>
          <w:sz w:val="20"/>
          <w:szCs w:val="20"/>
        </w:rPr>
        <w:t>Località di montagna</w:t>
      </w:r>
    </w:p>
    <w:p w:rsidR="00575691" w:rsidRPr="002D3762" w:rsidRDefault="00575691" w:rsidP="002D3762">
      <w:pPr>
        <w:pBdr>
          <w:bottom w:val="single" w:sz="12" w:space="1" w:color="1F497D" w:themeColor="text2"/>
        </w:pBdr>
        <w:spacing w:after="120"/>
        <w:jc w:val="center"/>
        <w:rPr>
          <w:rFonts w:ascii="Calibri" w:hAnsi="Calibri" w:cs="Arial"/>
          <w:color w:val="000000"/>
          <w:sz w:val="20"/>
        </w:rPr>
      </w:pPr>
      <w:r w:rsidRPr="002D3762">
        <w:rPr>
          <w:rFonts w:ascii="Calibri" w:hAnsi="Calibri"/>
          <w:sz w:val="20"/>
        </w:rPr>
        <w:t xml:space="preserve">Bolzano (BZ), </w:t>
      </w:r>
      <w:r w:rsidRPr="002D3762">
        <w:rPr>
          <w:rFonts w:ascii="Calibri" w:hAnsi="Calibri" w:cs="Arial"/>
          <w:color w:val="000000"/>
          <w:sz w:val="20"/>
        </w:rPr>
        <w:t>Corvara (BZ)</w:t>
      </w:r>
      <w:r w:rsidRPr="002D3762">
        <w:rPr>
          <w:rFonts w:ascii="Calibri" w:hAnsi="Calibri"/>
          <w:sz w:val="20"/>
        </w:rPr>
        <w:t xml:space="preserve">, </w:t>
      </w:r>
      <w:r w:rsidRPr="002D3762">
        <w:rPr>
          <w:rFonts w:ascii="Calibri" w:hAnsi="Calibri" w:cs="Arial"/>
          <w:color w:val="000000"/>
          <w:sz w:val="20"/>
        </w:rPr>
        <w:t>Dobbiaco (BZ)</w:t>
      </w:r>
      <w:r w:rsidRPr="002D3762">
        <w:rPr>
          <w:rFonts w:ascii="Calibri" w:hAnsi="Calibri"/>
          <w:sz w:val="20"/>
        </w:rPr>
        <w:t xml:space="preserve">, </w:t>
      </w:r>
      <w:r w:rsidRPr="002D3762">
        <w:rPr>
          <w:rFonts w:ascii="Calibri" w:hAnsi="Calibri" w:cs="Arial"/>
          <w:color w:val="000000"/>
          <w:sz w:val="20"/>
        </w:rPr>
        <w:t>Selva di Val Gardena (BZ)</w:t>
      </w:r>
      <w:r w:rsidRPr="002D3762">
        <w:rPr>
          <w:rFonts w:ascii="Calibri" w:hAnsi="Calibri"/>
          <w:sz w:val="20"/>
        </w:rPr>
        <w:t xml:space="preserve">, </w:t>
      </w:r>
      <w:r w:rsidRPr="002D3762">
        <w:rPr>
          <w:rFonts w:ascii="Calibri" w:hAnsi="Calibri" w:cs="Arial"/>
          <w:color w:val="000000"/>
          <w:sz w:val="20"/>
        </w:rPr>
        <w:t>Vipiteno (BZ)</w:t>
      </w:r>
      <w:r w:rsidRPr="002D3762">
        <w:rPr>
          <w:rFonts w:ascii="Calibri" w:hAnsi="Calibri"/>
          <w:sz w:val="20"/>
        </w:rPr>
        <w:t xml:space="preserve">, </w:t>
      </w:r>
      <w:r w:rsidRPr="002D3762">
        <w:rPr>
          <w:rFonts w:ascii="Calibri" w:hAnsi="Calibri" w:cs="Arial"/>
          <w:color w:val="000000"/>
          <w:sz w:val="20"/>
        </w:rPr>
        <w:t xml:space="preserve">Andalo (TN), Antey Saint </w:t>
      </w:r>
      <w:proofErr w:type="spellStart"/>
      <w:r w:rsidRPr="002D3762">
        <w:rPr>
          <w:rFonts w:ascii="Calibri" w:hAnsi="Calibri" w:cs="Arial"/>
          <w:color w:val="000000"/>
          <w:sz w:val="20"/>
        </w:rPr>
        <w:t>Andrè</w:t>
      </w:r>
      <w:proofErr w:type="spellEnd"/>
      <w:r w:rsidRPr="002D3762">
        <w:rPr>
          <w:rFonts w:ascii="Calibri" w:hAnsi="Calibri" w:cs="Arial"/>
          <w:color w:val="000000"/>
          <w:sz w:val="20"/>
        </w:rPr>
        <w:t xml:space="preserve"> (AO), Ayas - Antagnod (AO), Breuil - Cervinia (AO), Champoluc (AO), Cogne (AO), Courmayeur (AO), Gressoney La </w:t>
      </w:r>
      <w:proofErr w:type="spellStart"/>
      <w:r w:rsidRPr="002D3762">
        <w:rPr>
          <w:rFonts w:ascii="Calibri" w:hAnsi="Calibri" w:cs="Arial"/>
          <w:color w:val="000000"/>
          <w:sz w:val="20"/>
        </w:rPr>
        <w:t>Trinitè</w:t>
      </w:r>
      <w:proofErr w:type="spellEnd"/>
      <w:r w:rsidRPr="002D3762">
        <w:rPr>
          <w:rFonts w:ascii="Calibri" w:hAnsi="Calibri" w:cs="Arial"/>
          <w:color w:val="000000"/>
          <w:sz w:val="20"/>
        </w:rPr>
        <w:t xml:space="preserve"> (AO), Gressoney Saint Jean (AO), La Salle (AO), La </w:t>
      </w:r>
      <w:proofErr w:type="spellStart"/>
      <w:r w:rsidRPr="002D3762">
        <w:rPr>
          <w:rFonts w:ascii="Calibri" w:hAnsi="Calibri" w:cs="Arial"/>
          <w:color w:val="000000"/>
          <w:sz w:val="20"/>
        </w:rPr>
        <w:t>Thuille</w:t>
      </w:r>
      <w:proofErr w:type="spellEnd"/>
      <w:r w:rsidRPr="002D3762">
        <w:rPr>
          <w:rFonts w:ascii="Calibri" w:hAnsi="Calibri" w:cs="Arial"/>
          <w:color w:val="000000"/>
          <w:sz w:val="20"/>
        </w:rPr>
        <w:t xml:space="preserve"> (AO), Morgex (AO), Pila (AO), Saint Vincent (AO), Valtournenche (AO)</w:t>
      </w:r>
    </w:p>
    <w:p w:rsidR="005025ED" w:rsidRPr="00B41D26" w:rsidRDefault="005025ED" w:rsidP="005025ED">
      <w:pPr>
        <w:spacing w:before="60"/>
        <w:rPr>
          <w:rFonts w:asciiTheme="minorHAnsi" w:eastAsia="Calibri" w:hAnsiTheme="minorHAnsi" w:cstheme="minorHAnsi"/>
          <w:sz w:val="18"/>
        </w:rPr>
      </w:pPr>
      <w:r w:rsidRPr="00B41D26">
        <w:rPr>
          <w:rFonts w:asciiTheme="minorHAnsi" w:eastAsia="Calibri" w:hAnsiTheme="minorHAnsi" w:cstheme="minorHAnsi"/>
          <w:sz w:val="18"/>
        </w:rPr>
        <w:t xml:space="preserve">Fonte: Nomisma e </w:t>
      </w:r>
      <w:proofErr w:type="spellStart"/>
      <w:r w:rsidRPr="00B41D26">
        <w:rPr>
          <w:rFonts w:asciiTheme="minorHAnsi" w:eastAsia="Calibri" w:hAnsiTheme="minorHAnsi" w:cstheme="minorHAnsi"/>
          <w:sz w:val="18"/>
        </w:rPr>
        <w:t>Fimaa</w:t>
      </w:r>
      <w:proofErr w:type="spellEnd"/>
      <w:r w:rsidRPr="00B41D26">
        <w:rPr>
          <w:rFonts w:asciiTheme="minorHAnsi" w:eastAsia="Calibri" w:hAnsiTheme="minorHAnsi" w:cstheme="minorHAnsi"/>
          <w:sz w:val="18"/>
        </w:rPr>
        <w:t>-Confcommercio</w:t>
      </w:r>
    </w:p>
    <w:p w:rsidR="00575691" w:rsidRPr="00B41D26" w:rsidRDefault="00575691" w:rsidP="00575691">
      <w:pPr>
        <w:spacing w:before="120"/>
        <w:jc w:val="left"/>
        <w:rPr>
          <w:rFonts w:ascii="Calibri" w:hAnsi="Calibri"/>
          <w:color w:val="FFFF00"/>
          <w:sz w:val="22"/>
          <w:szCs w:val="22"/>
        </w:rPr>
      </w:pPr>
      <w:r w:rsidRPr="00B41D26">
        <w:rPr>
          <w:rFonts w:ascii="Calibri" w:hAnsi="Calibri"/>
          <w:color w:val="FFFF00"/>
          <w:sz w:val="22"/>
          <w:szCs w:val="22"/>
        </w:rPr>
        <w:br w:type="page"/>
      </w:r>
    </w:p>
    <w:p w:rsidR="00F335F2" w:rsidRDefault="00F335F2" w:rsidP="00575691">
      <w:pPr>
        <w:jc w:val="right"/>
        <w:rPr>
          <w:rFonts w:ascii="Calibri" w:hAnsi="Calibri" w:cs="Arial"/>
          <w:b/>
          <w:bCs/>
          <w:color w:val="000000"/>
          <w:sz w:val="22"/>
          <w:szCs w:val="22"/>
        </w:rPr>
      </w:pPr>
    </w:p>
    <w:p w:rsidR="00575691" w:rsidRPr="002D3762" w:rsidRDefault="00575691" w:rsidP="00575691">
      <w:pPr>
        <w:jc w:val="right"/>
        <w:rPr>
          <w:rFonts w:ascii="Calibri" w:hAnsi="Calibri" w:cs="Arial"/>
          <w:b/>
          <w:bCs/>
          <w:color w:val="000000"/>
          <w:sz w:val="22"/>
          <w:szCs w:val="22"/>
        </w:rPr>
      </w:pPr>
      <w:r w:rsidRPr="002D3762">
        <w:rPr>
          <w:rFonts w:ascii="Calibri" w:hAnsi="Calibri" w:cs="Arial"/>
          <w:b/>
          <w:bCs/>
          <w:color w:val="000000"/>
          <w:sz w:val="22"/>
          <w:szCs w:val="22"/>
        </w:rPr>
        <w:t xml:space="preserve">Tavola </w:t>
      </w:r>
      <w:r w:rsidR="00915F00">
        <w:rPr>
          <w:rFonts w:ascii="Calibri" w:hAnsi="Calibri" w:cs="Arial"/>
          <w:b/>
          <w:bCs/>
          <w:color w:val="000000"/>
          <w:sz w:val="22"/>
          <w:szCs w:val="22"/>
        </w:rPr>
        <w:t>B</w:t>
      </w:r>
    </w:p>
    <w:p w:rsidR="00575691" w:rsidRPr="002D3762" w:rsidRDefault="00575691" w:rsidP="00575691">
      <w:pPr>
        <w:jc w:val="center"/>
        <w:rPr>
          <w:rFonts w:ascii="Calibri" w:hAnsi="Calibri" w:cs="Arial"/>
          <w:b/>
          <w:bCs/>
          <w:color w:val="FF0000"/>
          <w:sz w:val="22"/>
          <w:szCs w:val="22"/>
        </w:rPr>
      </w:pPr>
    </w:p>
    <w:p w:rsidR="00575691" w:rsidRPr="002D3762" w:rsidRDefault="00575691" w:rsidP="00575691">
      <w:pPr>
        <w:jc w:val="center"/>
        <w:rPr>
          <w:rFonts w:ascii="Calibri" w:hAnsi="Calibri" w:cs="Arial"/>
          <w:bCs/>
          <w:i/>
          <w:sz w:val="22"/>
          <w:szCs w:val="22"/>
        </w:rPr>
      </w:pPr>
      <w:r w:rsidRPr="002D3762">
        <w:rPr>
          <w:rFonts w:ascii="Calibri" w:hAnsi="Calibri" w:cs="Arial"/>
          <w:b/>
          <w:bCs/>
          <w:sz w:val="22"/>
          <w:szCs w:val="22"/>
        </w:rPr>
        <w:t xml:space="preserve">Variazioni percentuali annuali (2014/2013) nominali dei prezzi medi di compravendita di appartamenti nelle principali località turistiche italiane, per Regione </w:t>
      </w:r>
      <w:r w:rsidRPr="002D3762">
        <w:rPr>
          <w:rFonts w:ascii="Calibri" w:hAnsi="Calibri" w:cs="Arial"/>
          <w:bCs/>
          <w:i/>
          <w:sz w:val="22"/>
          <w:szCs w:val="22"/>
        </w:rPr>
        <w:t xml:space="preserve">(valori </w:t>
      </w:r>
      <w:r w:rsidR="002D3762">
        <w:rPr>
          <w:rFonts w:ascii="Calibri" w:hAnsi="Calibri" w:cs="Arial"/>
          <w:bCs/>
          <w:i/>
          <w:sz w:val="22"/>
          <w:szCs w:val="22"/>
        </w:rPr>
        <w:t>%</w:t>
      </w:r>
      <w:r w:rsidRPr="002D3762">
        <w:rPr>
          <w:rFonts w:ascii="Calibri" w:hAnsi="Calibri" w:cs="Arial"/>
          <w:bCs/>
          <w:i/>
          <w:sz w:val="22"/>
          <w:szCs w:val="22"/>
        </w:rPr>
        <w:t>)</w:t>
      </w:r>
    </w:p>
    <w:p w:rsidR="00575691" w:rsidRPr="002D3762" w:rsidRDefault="00575691" w:rsidP="00575691">
      <w:pPr>
        <w:autoSpaceDE w:val="0"/>
        <w:autoSpaceDN w:val="0"/>
        <w:adjustRightInd w:val="0"/>
        <w:jc w:val="center"/>
        <w:rPr>
          <w:rFonts w:ascii="Calibri" w:hAnsi="Calibri" w:cs="Calibri"/>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717"/>
        <w:gridCol w:w="2821"/>
        <w:gridCol w:w="2822"/>
      </w:tblGrid>
      <w:tr w:rsidR="00575691" w:rsidRPr="002D3762" w:rsidTr="002D3762">
        <w:trPr>
          <w:trHeight w:val="283"/>
          <w:jc w:val="center"/>
        </w:trPr>
        <w:tc>
          <w:tcPr>
            <w:tcW w:w="2717" w:type="dxa"/>
            <w:tcBorders>
              <w:top w:val="single" w:sz="8" w:space="0" w:color="auto"/>
              <w:left w:val="nil"/>
              <w:bottom w:val="single" w:sz="8" w:space="0" w:color="auto"/>
            </w:tcBorders>
            <w:shd w:val="clear" w:color="auto" w:fill="D9D9D9" w:themeFill="background1" w:themeFillShade="D9"/>
            <w:vAlign w:val="center"/>
          </w:tcPr>
          <w:p w:rsidR="00575691" w:rsidRPr="002D3762" w:rsidRDefault="00575691" w:rsidP="00575691">
            <w:pPr>
              <w:autoSpaceDE w:val="0"/>
              <w:autoSpaceDN w:val="0"/>
              <w:adjustRightInd w:val="0"/>
              <w:jc w:val="left"/>
              <w:rPr>
                <w:rFonts w:asciiTheme="minorHAnsi" w:hAnsiTheme="minorHAnsi" w:cstheme="minorHAnsi"/>
                <w:color w:val="000000"/>
                <w:sz w:val="20"/>
              </w:rPr>
            </w:pPr>
            <w:r w:rsidRPr="002D3762">
              <w:rPr>
                <w:rFonts w:asciiTheme="minorHAnsi" w:hAnsiTheme="minorHAnsi" w:cstheme="minorHAnsi"/>
                <w:b/>
                <w:bCs/>
                <w:color w:val="000000"/>
                <w:sz w:val="20"/>
              </w:rPr>
              <w:t>Regione</w:t>
            </w:r>
          </w:p>
        </w:tc>
        <w:tc>
          <w:tcPr>
            <w:tcW w:w="2821" w:type="dxa"/>
            <w:tcBorders>
              <w:top w:val="single" w:sz="8" w:space="0" w:color="auto"/>
              <w:bottom w:val="single" w:sz="8" w:space="0" w:color="auto"/>
            </w:tcBorders>
            <w:shd w:val="clear" w:color="auto" w:fill="D9D9D9" w:themeFill="background1" w:themeFillShade="D9"/>
            <w:vAlign w:val="center"/>
          </w:tcPr>
          <w:p w:rsidR="00575691" w:rsidRPr="002D3762" w:rsidRDefault="00575691" w:rsidP="00575691">
            <w:pPr>
              <w:autoSpaceDE w:val="0"/>
              <w:autoSpaceDN w:val="0"/>
              <w:adjustRightInd w:val="0"/>
              <w:jc w:val="center"/>
              <w:rPr>
                <w:rFonts w:asciiTheme="minorHAnsi" w:hAnsiTheme="minorHAnsi" w:cstheme="minorHAnsi"/>
                <w:color w:val="000000"/>
                <w:sz w:val="20"/>
              </w:rPr>
            </w:pPr>
            <w:r w:rsidRPr="002D3762">
              <w:rPr>
                <w:rFonts w:asciiTheme="minorHAnsi" w:hAnsiTheme="minorHAnsi" w:cstheme="minorHAnsi"/>
                <w:b/>
                <w:bCs/>
                <w:color w:val="000000"/>
                <w:sz w:val="20"/>
              </w:rPr>
              <w:t>Località di mare</w:t>
            </w:r>
          </w:p>
        </w:tc>
        <w:tc>
          <w:tcPr>
            <w:tcW w:w="2822" w:type="dxa"/>
            <w:tcBorders>
              <w:top w:val="single" w:sz="8" w:space="0" w:color="auto"/>
              <w:bottom w:val="single" w:sz="8" w:space="0" w:color="auto"/>
              <w:right w:val="nil"/>
            </w:tcBorders>
            <w:shd w:val="clear" w:color="auto" w:fill="D9D9D9" w:themeFill="background1" w:themeFillShade="D9"/>
            <w:vAlign w:val="center"/>
          </w:tcPr>
          <w:p w:rsidR="00575691" w:rsidRPr="002D3762" w:rsidRDefault="00575691" w:rsidP="00575691">
            <w:pPr>
              <w:autoSpaceDE w:val="0"/>
              <w:autoSpaceDN w:val="0"/>
              <w:adjustRightInd w:val="0"/>
              <w:jc w:val="center"/>
              <w:rPr>
                <w:rFonts w:asciiTheme="minorHAnsi" w:hAnsiTheme="minorHAnsi" w:cstheme="minorHAnsi"/>
                <w:color w:val="000000"/>
                <w:sz w:val="20"/>
              </w:rPr>
            </w:pPr>
            <w:r w:rsidRPr="002D3762">
              <w:rPr>
                <w:rFonts w:asciiTheme="minorHAnsi" w:hAnsiTheme="minorHAnsi" w:cstheme="minorHAnsi"/>
                <w:b/>
                <w:bCs/>
                <w:color w:val="000000"/>
                <w:sz w:val="20"/>
              </w:rPr>
              <w:t>Località montane e lacuali</w:t>
            </w:r>
          </w:p>
        </w:tc>
      </w:tr>
      <w:tr w:rsidR="00575691" w:rsidRPr="002D3762" w:rsidTr="00575691">
        <w:trPr>
          <w:trHeight w:val="283"/>
          <w:jc w:val="center"/>
        </w:trPr>
        <w:tc>
          <w:tcPr>
            <w:tcW w:w="2717" w:type="dxa"/>
            <w:tcBorders>
              <w:top w:val="single" w:sz="8" w:space="0" w:color="auto"/>
            </w:tcBorders>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Abruzzo</w:t>
            </w:r>
          </w:p>
        </w:tc>
        <w:tc>
          <w:tcPr>
            <w:tcW w:w="2821" w:type="dxa"/>
            <w:tcBorders>
              <w:top w:val="single" w:sz="8" w:space="0" w:color="auto"/>
            </w:tcBorders>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-6,7%</w:t>
            </w:r>
          </w:p>
        </w:tc>
        <w:tc>
          <w:tcPr>
            <w:tcW w:w="2822" w:type="dxa"/>
            <w:tcBorders>
              <w:top w:val="single" w:sz="8" w:space="0" w:color="auto"/>
            </w:tcBorders>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-5,6%</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Basilicata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1,6%</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Calabria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-5,2%</w:t>
            </w:r>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-5,9%</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Campania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-5,0%</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Emilia Romagna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-7,2%</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Friuli Venezia-Giulia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-6,0%</w:t>
            </w:r>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-6,2%</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Lazio</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-4,4%</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Liguria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-7,8%</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Lombardia</w:t>
            </w:r>
          </w:p>
        </w:tc>
        <w:tc>
          <w:tcPr>
            <w:tcW w:w="2821"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-6,7%</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Marche</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-7,1%</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Molise</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-5,6%</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Piemonte</w:t>
            </w:r>
          </w:p>
        </w:tc>
        <w:tc>
          <w:tcPr>
            <w:tcW w:w="2821"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-6,9%</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Puglia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-4,6%</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Sardegna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-0,4%</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Sicilia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-7,7%</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Toscana</w:t>
            </w:r>
          </w:p>
        </w:tc>
        <w:tc>
          <w:tcPr>
            <w:tcW w:w="2821"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-0,3%</w:t>
            </w:r>
          </w:p>
        </w:tc>
        <w:tc>
          <w:tcPr>
            <w:tcW w:w="2822"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Trentino Alto-Adige</w:t>
            </w:r>
          </w:p>
        </w:tc>
        <w:tc>
          <w:tcPr>
            <w:tcW w:w="2821"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-3,3%</w:t>
            </w:r>
          </w:p>
        </w:tc>
      </w:tr>
      <w:tr w:rsidR="00575691" w:rsidRPr="002D3762" w:rsidTr="00575691">
        <w:trPr>
          <w:trHeight w:val="283"/>
          <w:jc w:val="center"/>
        </w:trPr>
        <w:tc>
          <w:tcPr>
            <w:tcW w:w="2717" w:type="dxa"/>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Umbria</w:t>
            </w:r>
          </w:p>
        </w:tc>
        <w:tc>
          <w:tcPr>
            <w:tcW w:w="2821" w:type="dxa"/>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c>
          <w:tcPr>
            <w:tcW w:w="2822" w:type="dxa"/>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-7,7%</w:t>
            </w:r>
          </w:p>
        </w:tc>
      </w:tr>
      <w:tr w:rsidR="00575691" w:rsidRPr="002D3762" w:rsidTr="00575691">
        <w:trPr>
          <w:trHeight w:val="283"/>
          <w:jc w:val="center"/>
        </w:trPr>
        <w:tc>
          <w:tcPr>
            <w:tcW w:w="2717" w:type="dxa"/>
            <w:tcBorders>
              <w:bottom w:val="nil"/>
            </w:tcBorders>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Valle d'Aosta</w:t>
            </w:r>
          </w:p>
        </w:tc>
        <w:tc>
          <w:tcPr>
            <w:tcW w:w="2821" w:type="dxa"/>
            <w:tcBorders>
              <w:bottom w:val="nil"/>
            </w:tcBorders>
            <w:vAlign w:val="center"/>
          </w:tcPr>
          <w:p w:rsidR="00575691" w:rsidRPr="002D3762" w:rsidRDefault="00575691" w:rsidP="00575691">
            <w:pPr>
              <w:jc w:val="center"/>
              <w:rPr>
                <w:rFonts w:asciiTheme="minorHAnsi" w:hAnsiTheme="minorHAnsi" w:cstheme="minorHAnsi"/>
                <w:color w:val="000000"/>
                <w:sz w:val="20"/>
              </w:rPr>
            </w:pPr>
            <w:proofErr w:type="spellStart"/>
            <w:r w:rsidRPr="002D3762">
              <w:rPr>
                <w:rFonts w:asciiTheme="minorHAnsi" w:hAnsiTheme="minorHAnsi" w:cstheme="minorHAnsi"/>
                <w:color w:val="000000"/>
                <w:sz w:val="20"/>
              </w:rPr>
              <w:t>n.d.</w:t>
            </w:r>
            <w:proofErr w:type="spellEnd"/>
          </w:p>
        </w:tc>
        <w:tc>
          <w:tcPr>
            <w:tcW w:w="2822" w:type="dxa"/>
            <w:tcBorders>
              <w:bottom w:val="nil"/>
            </w:tcBorders>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0,0%</w:t>
            </w:r>
          </w:p>
        </w:tc>
      </w:tr>
      <w:tr w:rsidR="00575691" w:rsidRPr="002D3762" w:rsidTr="00575691">
        <w:trPr>
          <w:trHeight w:val="283"/>
          <w:jc w:val="center"/>
        </w:trPr>
        <w:tc>
          <w:tcPr>
            <w:tcW w:w="2717" w:type="dxa"/>
            <w:tcBorders>
              <w:top w:val="nil"/>
              <w:bottom w:val="single" w:sz="8" w:space="0" w:color="auto"/>
            </w:tcBorders>
            <w:vAlign w:val="center"/>
          </w:tcPr>
          <w:p w:rsidR="00575691" w:rsidRPr="002D3762" w:rsidRDefault="00575691" w:rsidP="00575691">
            <w:pPr>
              <w:rPr>
                <w:rFonts w:asciiTheme="minorHAnsi" w:hAnsiTheme="minorHAnsi" w:cstheme="minorHAnsi"/>
                <w:color w:val="000000"/>
                <w:sz w:val="20"/>
              </w:rPr>
            </w:pPr>
            <w:r w:rsidRPr="002D3762">
              <w:rPr>
                <w:rFonts w:asciiTheme="minorHAnsi" w:hAnsiTheme="minorHAnsi" w:cstheme="minorHAnsi"/>
                <w:color w:val="000000"/>
                <w:sz w:val="20"/>
              </w:rPr>
              <w:t>Veneto</w:t>
            </w:r>
          </w:p>
        </w:tc>
        <w:tc>
          <w:tcPr>
            <w:tcW w:w="2821" w:type="dxa"/>
            <w:tcBorders>
              <w:top w:val="nil"/>
              <w:bottom w:val="single" w:sz="8" w:space="0" w:color="auto"/>
            </w:tcBorders>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-6,9%</w:t>
            </w:r>
          </w:p>
        </w:tc>
        <w:tc>
          <w:tcPr>
            <w:tcW w:w="2822" w:type="dxa"/>
            <w:tcBorders>
              <w:top w:val="nil"/>
              <w:bottom w:val="single" w:sz="8" w:space="0" w:color="auto"/>
            </w:tcBorders>
            <w:vAlign w:val="center"/>
          </w:tcPr>
          <w:p w:rsidR="00575691" w:rsidRPr="002D3762" w:rsidRDefault="00575691" w:rsidP="00575691">
            <w:pPr>
              <w:jc w:val="center"/>
              <w:rPr>
                <w:rFonts w:asciiTheme="minorHAnsi" w:hAnsiTheme="minorHAnsi" w:cstheme="minorHAnsi"/>
                <w:color w:val="000000"/>
                <w:sz w:val="20"/>
              </w:rPr>
            </w:pPr>
            <w:r w:rsidRPr="002D3762">
              <w:rPr>
                <w:rFonts w:asciiTheme="minorHAnsi" w:hAnsiTheme="minorHAnsi" w:cstheme="minorHAnsi"/>
                <w:color w:val="000000"/>
                <w:sz w:val="20"/>
              </w:rPr>
              <w:t>-7,0%</w:t>
            </w:r>
          </w:p>
        </w:tc>
      </w:tr>
    </w:tbl>
    <w:p w:rsidR="005025ED" w:rsidRPr="008D7331" w:rsidRDefault="005025ED" w:rsidP="005025ED">
      <w:pPr>
        <w:spacing w:before="60"/>
        <w:ind w:firstLine="708"/>
        <w:rPr>
          <w:rFonts w:asciiTheme="minorHAnsi" w:eastAsia="Calibri" w:hAnsiTheme="minorHAnsi" w:cstheme="minorHAnsi"/>
          <w:sz w:val="18"/>
        </w:rPr>
      </w:pPr>
      <w:r w:rsidRPr="00B41D26">
        <w:rPr>
          <w:rFonts w:asciiTheme="minorHAnsi" w:eastAsia="Calibri" w:hAnsiTheme="minorHAnsi" w:cstheme="minorHAnsi"/>
          <w:sz w:val="18"/>
        </w:rPr>
        <w:t xml:space="preserve">Fonte: Nomisma e </w:t>
      </w:r>
      <w:proofErr w:type="spellStart"/>
      <w:r w:rsidRPr="00B41D26">
        <w:rPr>
          <w:rFonts w:asciiTheme="minorHAnsi" w:eastAsia="Calibri" w:hAnsiTheme="minorHAnsi" w:cstheme="minorHAnsi"/>
          <w:sz w:val="18"/>
        </w:rPr>
        <w:t>Fimaa</w:t>
      </w:r>
      <w:proofErr w:type="spellEnd"/>
      <w:r w:rsidRPr="00B41D26">
        <w:rPr>
          <w:rFonts w:asciiTheme="minorHAnsi" w:eastAsia="Calibri" w:hAnsiTheme="minorHAnsi" w:cstheme="minorHAnsi"/>
          <w:sz w:val="18"/>
        </w:rPr>
        <w:t>-Confcommercio</w:t>
      </w:r>
    </w:p>
    <w:p w:rsidR="00575691" w:rsidRDefault="00575691" w:rsidP="00575691">
      <w:pPr>
        <w:spacing w:before="120"/>
        <w:jc w:val="left"/>
        <w:rPr>
          <w:rFonts w:ascii="Calibri" w:hAnsi="Calibri" w:cs="Arial"/>
          <w:bCs/>
          <w:szCs w:val="22"/>
        </w:rPr>
      </w:pPr>
      <w:r>
        <w:rPr>
          <w:rFonts w:ascii="Calibri" w:hAnsi="Calibri" w:cs="Arial"/>
          <w:bCs/>
          <w:szCs w:val="22"/>
        </w:rPr>
        <w:br w:type="page"/>
      </w:r>
    </w:p>
    <w:p w:rsidR="00F335F2" w:rsidRDefault="00F335F2" w:rsidP="00575691">
      <w:pPr>
        <w:jc w:val="right"/>
        <w:rPr>
          <w:rFonts w:ascii="Calibri" w:hAnsi="Calibri" w:cs="Arial"/>
          <w:b/>
          <w:bCs/>
          <w:color w:val="000000"/>
          <w:sz w:val="22"/>
          <w:szCs w:val="22"/>
        </w:rPr>
      </w:pPr>
    </w:p>
    <w:p w:rsidR="00575691" w:rsidRPr="002D3762" w:rsidRDefault="00575691" w:rsidP="00575691">
      <w:pPr>
        <w:jc w:val="right"/>
        <w:rPr>
          <w:rFonts w:ascii="Calibri" w:hAnsi="Calibri" w:cs="Arial"/>
          <w:b/>
          <w:bCs/>
          <w:color w:val="000000"/>
          <w:sz w:val="22"/>
          <w:szCs w:val="22"/>
        </w:rPr>
      </w:pPr>
      <w:r w:rsidRPr="002D3762">
        <w:rPr>
          <w:rFonts w:ascii="Calibri" w:hAnsi="Calibri" w:cs="Arial"/>
          <w:b/>
          <w:bCs/>
          <w:color w:val="000000"/>
          <w:sz w:val="22"/>
          <w:szCs w:val="22"/>
        </w:rPr>
        <w:t xml:space="preserve">Tavola </w:t>
      </w:r>
      <w:r w:rsidR="00915F00">
        <w:rPr>
          <w:rFonts w:ascii="Calibri" w:hAnsi="Calibri" w:cs="Arial"/>
          <w:b/>
          <w:bCs/>
          <w:color w:val="000000"/>
          <w:sz w:val="22"/>
          <w:szCs w:val="22"/>
        </w:rPr>
        <w:t>C</w:t>
      </w:r>
    </w:p>
    <w:p w:rsidR="000251ED" w:rsidRPr="002D3762" w:rsidRDefault="000251ED" w:rsidP="000251ED">
      <w:pPr>
        <w:jc w:val="center"/>
        <w:rPr>
          <w:rFonts w:ascii="Calibri" w:hAnsi="Calibri" w:cs="Arial"/>
          <w:b/>
          <w:bCs/>
          <w:color w:val="FF0000"/>
          <w:sz w:val="22"/>
          <w:szCs w:val="22"/>
        </w:rPr>
      </w:pPr>
    </w:p>
    <w:p w:rsidR="00E80022" w:rsidRDefault="002F6F6E" w:rsidP="000251ED">
      <w:pPr>
        <w:jc w:val="center"/>
        <w:rPr>
          <w:rFonts w:asciiTheme="minorHAnsi" w:hAnsiTheme="minorHAnsi" w:cstheme="minorHAnsi"/>
          <w:b/>
          <w:bCs/>
          <w:sz w:val="22"/>
          <w:szCs w:val="22"/>
        </w:rPr>
      </w:pPr>
      <w:r>
        <w:rPr>
          <w:rFonts w:asciiTheme="minorHAnsi" w:hAnsiTheme="minorHAnsi" w:cstheme="minorHAnsi"/>
          <w:b/>
          <w:bCs/>
          <w:sz w:val="22"/>
          <w:szCs w:val="22"/>
        </w:rPr>
        <w:t>Prime 15 località per</w:t>
      </w:r>
      <w:r w:rsidR="000251ED" w:rsidRPr="002D3762">
        <w:rPr>
          <w:rFonts w:asciiTheme="minorHAnsi" w:hAnsiTheme="minorHAnsi" w:cstheme="minorHAnsi"/>
          <w:b/>
          <w:bCs/>
          <w:sz w:val="22"/>
          <w:szCs w:val="22"/>
        </w:rPr>
        <w:t xml:space="preserve"> prezzi </w:t>
      </w:r>
      <w:r w:rsidR="000251ED">
        <w:rPr>
          <w:rFonts w:asciiTheme="minorHAnsi" w:hAnsiTheme="minorHAnsi" w:cstheme="minorHAnsi"/>
          <w:b/>
          <w:bCs/>
          <w:sz w:val="22"/>
          <w:szCs w:val="22"/>
        </w:rPr>
        <w:t>massimi</w:t>
      </w:r>
      <w:r w:rsidR="000251ED" w:rsidRPr="002D3762">
        <w:rPr>
          <w:rFonts w:asciiTheme="minorHAnsi" w:hAnsiTheme="minorHAnsi" w:cstheme="minorHAnsi"/>
          <w:b/>
          <w:bCs/>
          <w:sz w:val="22"/>
          <w:szCs w:val="22"/>
        </w:rPr>
        <w:t xml:space="preserve"> di compravendita di appartamenti top o nuovi</w:t>
      </w:r>
      <w:r w:rsidR="00E80022">
        <w:rPr>
          <w:rFonts w:asciiTheme="minorHAnsi" w:hAnsiTheme="minorHAnsi" w:cstheme="minorHAnsi"/>
          <w:b/>
          <w:bCs/>
          <w:sz w:val="22"/>
          <w:szCs w:val="22"/>
        </w:rPr>
        <w:t xml:space="preserve"> </w:t>
      </w:r>
    </w:p>
    <w:p w:rsidR="000251ED" w:rsidRDefault="000251ED" w:rsidP="000251ED">
      <w:pPr>
        <w:jc w:val="center"/>
        <w:rPr>
          <w:rFonts w:asciiTheme="minorHAnsi" w:hAnsiTheme="minorHAnsi" w:cstheme="minorHAnsi"/>
          <w:i/>
          <w:iCs/>
          <w:sz w:val="22"/>
          <w:szCs w:val="22"/>
        </w:rPr>
      </w:pPr>
      <w:r w:rsidRPr="002D3762">
        <w:rPr>
          <w:rFonts w:asciiTheme="minorHAnsi" w:hAnsiTheme="minorHAnsi" w:cstheme="minorHAnsi"/>
          <w:i/>
          <w:iCs/>
          <w:sz w:val="22"/>
          <w:szCs w:val="22"/>
        </w:rPr>
        <w:t>(Euro al mq)</w:t>
      </w:r>
    </w:p>
    <w:p w:rsidR="000251ED" w:rsidRDefault="000251ED" w:rsidP="000251ED">
      <w:pPr>
        <w:jc w:val="center"/>
        <w:rPr>
          <w:rFonts w:asciiTheme="minorHAnsi" w:hAnsiTheme="minorHAnsi" w:cstheme="minorHAnsi"/>
          <w:i/>
          <w:iCs/>
          <w:sz w:val="22"/>
          <w:szCs w:val="22"/>
        </w:rPr>
      </w:pPr>
    </w:p>
    <w:p w:rsidR="00F910D0" w:rsidRDefault="00F910D0" w:rsidP="00F910D0">
      <w:pPr>
        <w:jc w:val="center"/>
        <w:rPr>
          <w:rFonts w:asciiTheme="minorHAnsi" w:hAnsiTheme="minorHAnsi" w:cstheme="minorHAnsi"/>
          <w:i/>
          <w:iCs/>
          <w:sz w:val="22"/>
          <w:szCs w:val="22"/>
        </w:rPr>
      </w:pPr>
    </w:p>
    <w:tbl>
      <w:tblPr>
        <w:tblW w:w="0" w:type="auto"/>
        <w:jc w:val="center"/>
        <w:tblLayout w:type="fixed"/>
        <w:tblLook w:val="04A0" w:firstRow="1" w:lastRow="0" w:firstColumn="1" w:lastColumn="0" w:noHBand="0" w:noVBand="1"/>
      </w:tblPr>
      <w:tblGrid>
        <w:gridCol w:w="3189"/>
        <w:gridCol w:w="2126"/>
        <w:gridCol w:w="3045"/>
      </w:tblGrid>
      <w:tr w:rsidR="00F910D0" w:rsidTr="00F910D0">
        <w:trPr>
          <w:trHeight w:val="283"/>
          <w:jc w:val="center"/>
        </w:trPr>
        <w:tc>
          <w:tcPr>
            <w:tcW w:w="3189"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Default="00F910D0">
            <w:pPr>
              <w:autoSpaceDE w:val="0"/>
              <w:autoSpaceDN w:val="0"/>
              <w:adjustRightInd w:val="0"/>
              <w:spacing w:line="276" w:lineRule="auto"/>
              <w:jc w:val="left"/>
              <w:rPr>
                <w:rFonts w:asciiTheme="minorHAnsi" w:hAnsiTheme="minorHAnsi" w:cstheme="minorHAnsi"/>
                <w:color w:val="000000"/>
                <w:sz w:val="20"/>
                <w:lang w:eastAsia="en-US"/>
              </w:rPr>
            </w:pPr>
            <w:r>
              <w:rPr>
                <w:rFonts w:asciiTheme="minorHAnsi" w:hAnsiTheme="minorHAnsi" w:cstheme="minorHAnsi"/>
                <w:b/>
                <w:bCs/>
                <w:color w:val="000000"/>
                <w:sz w:val="20"/>
                <w:lang w:eastAsia="en-US"/>
              </w:rPr>
              <w:t>Località</w:t>
            </w:r>
          </w:p>
        </w:tc>
        <w:tc>
          <w:tcPr>
            <w:tcW w:w="2126"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Default="00F910D0">
            <w:pPr>
              <w:autoSpaceDE w:val="0"/>
              <w:autoSpaceDN w:val="0"/>
              <w:adjustRightInd w:val="0"/>
              <w:spacing w:line="276" w:lineRule="auto"/>
              <w:jc w:val="center"/>
              <w:rPr>
                <w:rFonts w:asciiTheme="minorHAnsi" w:hAnsiTheme="minorHAnsi" w:cstheme="minorHAnsi"/>
                <w:color w:val="000000"/>
                <w:sz w:val="20"/>
                <w:lang w:eastAsia="en-US"/>
              </w:rPr>
            </w:pPr>
            <w:r>
              <w:rPr>
                <w:rFonts w:asciiTheme="minorHAnsi" w:hAnsiTheme="minorHAnsi" w:cstheme="minorHAnsi"/>
                <w:b/>
                <w:bCs/>
                <w:color w:val="000000"/>
                <w:sz w:val="20"/>
                <w:lang w:eastAsia="en-US"/>
              </w:rPr>
              <w:t>Prezzi (€/mq)</w:t>
            </w:r>
          </w:p>
        </w:tc>
        <w:tc>
          <w:tcPr>
            <w:tcW w:w="3045"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Default="00F910D0">
            <w:pPr>
              <w:autoSpaceDE w:val="0"/>
              <w:autoSpaceDN w:val="0"/>
              <w:adjustRightInd w:val="0"/>
              <w:spacing w:line="276" w:lineRule="auto"/>
              <w:jc w:val="center"/>
              <w:rPr>
                <w:rFonts w:asciiTheme="minorHAnsi" w:hAnsiTheme="minorHAnsi" w:cstheme="minorHAnsi"/>
                <w:color w:val="000000"/>
                <w:sz w:val="20"/>
                <w:lang w:eastAsia="en-US"/>
              </w:rPr>
            </w:pPr>
            <w:r>
              <w:rPr>
                <w:rFonts w:asciiTheme="minorHAnsi" w:hAnsiTheme="minorHAnsi" w:cstheme="minorHAnsi"/>
                <w:b/>
                <w:bCs/>
                <w:color w:val="000000"/>
                <w:sz w:val="20"/>
                <w:lang w:eastAsia="en-US"/>
              </w:rPr>
              <w:t>Movimento rispetto alla posizione occupata nel 2013</w:t>
            </w:r>
          </w:p>
        </w:tc>
      </w:tr>
      <w:tr w:rsidR="00F910D0" w:rsidTr="00F910D0">
        <w:trPr>
          <w:trHeight w:val="283"/>
          <w:jc w:val="center"/>
        </w:trPr>
        <w:tc>
          <w:tcPr>
            <w:tcW w:w="3189" w:type="dxa"/>
            <w:tcBorders>
              <w:top w:val="single" w:sz="8" w:space="0" w:color="auto"/>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 Santa Margherita Ligure (GE)</w:t>
            </w:r>
          </w:p>
        </w:tc>
        <w:tc>
          <w:tcPr>
            <w:tcW w:w="2126" w:type="dxa"/>
            <w:tcBorders>
              <w:top w:val="single" w:sz="8" w:space="0" w:color="auto"/>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15.500</w:t>
            </w:r>
          </w:p>
        </w:tc>
        <w:tc>
          <w:tcPr>
            <w:tcW w:w="3045" w:type="dxa"/>
            <w:tcBorders>
              <w:top w:val="single" w:sz="8" w:space="0" w:color="auto"/>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0</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2. Forte dei Marmi (LU)</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15.000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3. Capri (NA)</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14.000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4. Madonna di Campiglio (TN)</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13.400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0</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5. Courmayeur (AO)</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12.000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6. Cortina D'Ampezzo (BL)</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11.300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7. Selva di Val Gardena (BZ)</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10.000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+2</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8. Porto Cervo (OT)</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9.800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0</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9. Anacapri (NA)</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9.600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-2</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10. Porto Rotondo (OT)</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8.800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+2</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11. Corvara (BZ)</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8.600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+3</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12. Alassio (SV)</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8.500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-2</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12. Sorrento (NA)</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8.500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-2</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13. Sestri Levante (GE)</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8.400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-1</w:t>
            </w:r>
          </w:p>
        </w:tc>
      </w:tr>
      <w:tr w:rsidR="00F910D0" w:rsidTr="00F910D0">
        <w:trPr>
          <w:trHeight w:val="283"/>
          <w:jc w:val="center"/>
        </w:trPr>
        <w:tc>
          <w:tcPr>
            <w:tcW w:w="3189" w:type="dxa"/>
            <w:tcBorders>
              <w:top w:val="nil"/>
              <w:left w:val="nil"/>
              <w:bottom w:val="nil"/>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14. Ortisei (BZ)</w:t>
            </w:r>
          </w:p>
        </w:tc>
        <w:tc>
          <w:tcPr>
            <w:tcW w:w="2126"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8.300</w:t>
            </w:r>
          </w:p>
        </w:tc>
        <w:tc>
          <w:tcPr>
            <w:tcW w:w="3045" w:type="dxa"/>
            <w:tcBorders>
              <w:top w:val="nil"/>
              <w:left w:val="nil"/>
              <w:bottom w:val="nil"/>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0</w:t>
            </w:r>
          </w:p>
        </w:tc>
      </w:tr>
      <w:tr w:rsidR="00F910D0" w:rsidTr="00F910D0">
        <w:trPr>
          <w:trHeight w:val="283"/>
          <w:jc w:val="center"/>
        </w:trPr>
        <w:tc>
          <w:tcPr>
            <w:tcW w:w="3189" w:type="dxa"/>
            <w:tcBorders>
              <w:top w:val="nil"/>
              <w:left w:val="nil"/>
              <w:bottom w:val="single" w:sz="8" w:space="0" w:color="auto"/>
              <w:right w:val="nil"/>
            </w:tcBorders>
            <w:vAlign w:val="center"/>
            <w:hideMark/>
          </w:tcPr>
          <w:p w:rsidR="00F910D0" w:rsidRDefault="00F910D0">
            <w:pPr>
              <w:spacing w:line="276" w:lineRule="auto"/>
              <w:jc w:val="left"/>
              <w:rPr>
                <w:rFonts w:ascii="Calibri" w:hAnsi="Calibri" w:cs="Arial"/>
                <w:color w:val="000000"/>
                <w:sz w:val="20"/>
                <w:lang w:eastAsia="en-US"/>
              </w:rPr>
            </w:pPr>
            <w:r>
              <w:rPr>
                <w:rFonts w:ascii="Calibri" w:hAnsi="Calibri" w:cs="Arial"/>
                <w:color w:val="000000"/>
                <w:sz w:val="20"/>
                <w:lang w:eastAsia="en-US"/>
              </w:rPr>
              <w:t>15. Positano (SA)</w:t>
            </w:r>
          </w:p>
        </w:tc>
        <w:tc>
          <w:tcPr>
            <w:tcW w:w="2126" w:type="dxa"/>
            <w:tcBorders>
              <w:top w:val="nil"/>
              <w:left w:val="nil"/>
              <w:bottom w:val="single" w:sz="8" w:space="0" w:color="auto"/>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7.800</w:t>
            </w:r>
          </w:p>
        </w:tc>
        <w:tc>
          <w:tcPr>
            <w:tcW w:w="3045" w:type="dxa"/>
            <w:tcBorders>
              <w:top w:val="nil"/>
              <w:left w:val="nil"/>
              <w:bottom w:val="single" w:sz="8" w:space="0" w:color="auto"/>
              <w:right w:val="nil"/>
            </w:tcBorders>
            <w:vAlign w:val="center"/>
            <w:hideMark/>
          </w:tcPr>
          <w:p w:rsidR="00F910D0" w:rsidRDefault="00F910D0">
            <w:pPr>
              <w:spacing w:line="276" w:lineRule="auto"/>
              <w:jc w:val="center"/>
              <w:rPr>
                <w:rFonts w:ascii="Calibri" w:hAnsi="Calibri" w:cs="Arial"/>
                <w:color w:val="000000"/>
                <w:sz w:val="20"/>
                <w:lang w:eastAsia="en-US"/>
              </w:rPr>
            </w:pPr>
            <w:r>
              <w:rPr>
                <w:rFonts w:ascii="Calibri" w:hAnsi="Calibri" w:cs="Arial"/>
                <w:color w:val="000000"/>
                <w:sz w:val="20"/>
                <w:lang w:eastAsia="en-US"/>
              </w:rPr>
              <w:t>0</w:t>
            </w:r>
          </w:p>
        </w:tc>
      </w:tr>
    </w:tbl>
    <w:p w:rsidR="00F910D0" w:rsidRDefault="00F910D0" w:rsidP="00F910D0">
      <w:pPr>
        <w:jc w:val="center"/>
        <w:rPr>
          <w:rFonts w:ascii="Calibri" w:hAnsi="Calibri" w:cs="Arial"/>
          <w:b/>
          <w:bCs/>
          <w:color w:val="FF0000"/>
          <w:szCs w:val="24"/>
        </w:rPr>
      </w:pPr>
    </w:p>
    <w:p w:rsidR="001A3468" w:rsidRPr="001A3468" w:rsidRDefault="001A3468" w:rsidP="001A3468">
      <w:pPr>
        <w:ind w:firstLine="708"/>
        <w:jc w:val="left"/>
        <w:rPr>
          <w:rFonts w:asciiTheme="minorHAnsi" w:eastAsia="Calibri" w:hAnsiTheme="minorHAnsi" w:cstheme="minorHAnsi"/>
          <w:sz w:val="2"/>
          <w:szCs w:val="2"/>
        </w:rPr>
      </w:pPr>
    </w:p>
    <w:p w:rsidR="00575691" w:rsidRPr="00575691" w:rsidRDefault="001A3468" w:rsidP="001A3468">
      <w:pPr>
        <w:ind w:firstLine="708"/>
        <w:jc w:val="left"/>
        <w:rPr>
          <w:rFonts w:asciiTheme="minorHAnsi" w:eastAsia="Calibri" w:hAnsiTheme="minorHAnsi" w:cstheme="minorHAnsi"/>
          <w:color w:val="1F497D" w:themeColor="text2"/>
          <w:sz w:val="32"/>
          <w:szCs w:val="32"/>
        </w:rPr>
      </w:pPr>
      <w:r w:rsidRPr="00B41D26">
        <w:rPr>
          <w:rFonts w:asciiTheme="minorHAnsi" w:eastAsia="Calibri" w:hAnsiTheme="minorHAnsi" w:cstheme="minorHAnsi"/>
          <w:sz w:val="18"/>
        </w:rPr>
        <w:t xml:space="preserve">Fonte: Nomisma e </w:t>
      </w:r>
      <w:proofErr w:type="spellStart"/>
      <w:r w:rsidRPr="00B41D26">
        <w:rPr>
          <w:rFonts w:asciiTheme="minorHAnsi" w:eastAsia="Calibri" w:hAnsiTheme="minorHAnsi" w:cstheme="minorHAnsi"/>
          <w:sz w:val="18"/>
        </w:rPr>
        <w:t>Fimaa</w:t>
      </w:r>
      <w:proofErr w:type="spellEnd"/>
      <w:r w:rsidRPr="00B41D26">
        <w:rPr>
          <w:rFonts w:asciiTheme="minorHAnsi" w:eastAsia="Calibri" w:hAnsiTheme="minorHAnsi" w:cstheme="minorHAnsi"/>
          <w:sz w:val="18"/>
        </w:rPr>
        <w:t>-Confcommercio</w:t>
      </w:r>
    </w:p>
    <w:sectPr w:rsidR="00575691" w:rsidRPr="00575691" w:rsidSect="00F335F2">
      <w:headerReference w:type="default" r:id="rId11"/>
      <w:footerReference w:type="default" r:id="rId12"/>
      <w:headerReference w:type="first" r:id="rId13"/>
      <w:pgSz w:w="11906" w:h="16838" w:code="9"/>
      <w:pgMar w:top="2155" w:right="1134" w:bottom="1134"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3B" w:rsidRDefault="0041163B" w:rsidP="00AE50F2">
      <w:r>
        <w:separator/>
      </w:r>
    </w:p>
  </w:endnote>
  <w:endnote w:type="continuationSeparator" w:id="0">
    <w:p w:rsidR="0041163B" w:rsidRDefault="0041163B"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654989620"/>
      <w:docPartObj>
        <w:docPartGallery w:val="Page Numbers (Bottom of Page)"/>
        <w:docPartUnique/>
      </w:docPartObj>
    </w:sdtPr>
    <w:sdtEndPr/>
    <w:sdtContent>
      <w:p w:rsidR="0015563B" w:rsidRPr="00E65333" w:rsidRDefault="0015563B" w:rsidP="00E65333">
        <w:pPr>
          <w:pStyle w:val="Pidipagina"/>
          <w:pBdr>
            <w:top w:val="single" w:sz="4" w:space="1" w:color="auto"/>
          </w:pBdr>
          <w:jc w:val="right"/>
          <w:rPr>
            <w:rFonts w:asciiTheme="minorHAnsi" w:hAnsiTheme="minorHAnsi"/>
            <w:sz w:val="20"/>
          </w:rPr>
        </w:pPr>
        <w:r w:rsidRPr="00CB214E">
          <w:rPr>
            <w:rFonts w:asciiTheme="minorHAnsi" w:hAnsiTheme="minorHAnsi"/>
            <w:sz w:val="20"/>
          </w:rPr>
          <w:t xml:space="preserve">Osservatorio Turistico, </w:t>
        </w:r>
        <w:r>
          <w:rPr>
            <w:rFonts w:asciiTheme="minorHAnsi" w:hAnsiTheme="minorHAnsi"/>
            <w:sz w:val="20"/>
          </w:rPr>
          <w:t>Agosto</w:t>
        </w:r>
        <w:r w:rsidRPr="00CB214E">
          <w:rPr>
            <w:rFonts w:asciiTheme="minorHAnsi" w:hAnsiTheme="minorHAnsi"/>
            <w:sz w:val="20"/>
          </w:rPr>
          <w:t xml:space="preserve"> 2014</w:t>
        </w:r>
        <w:r w:rsidRPr="00CB214E">
          <w:rPr>
            <w:rFonts w:asciiTheme="minorHAnsi" w:hAnsiTheme="minorHAnsi"/>
            <w:sz w:val="20"/>
          </w:rPr>
          <w:tab/>
        </w:r>
        <w:r w:rsidRPr="00CB214E">
          <w:rPr>
            <w:rFonts w:asciiTheme="minorHAnsi" w:hAnsiTheme="minorHAnsi"/>
            <w:sz w:val="20"/>
          </w:rPr>
          <w:tab/>
        </w:r>
        <w:r w:rsidRPr="00CB214E">
          <w:rPr>
            <w:rFonts w:asciiTheme="minorHAnsi" w:hAnsiTheme="minorHAnsi"/>
            <w:sz w:val="20"/>
          </w:rPr>
          <w:fldChar w:fldCharType="begin"/>
        </w:r>
        <w:r w:rsidRPr="00CB214E">
          <w:rPr>
            <w:rFonts w:asciiTheme="minorHAnsi" w:hAnsiTheme="minorHAnsi"/>
            <w:sz w:val="20"/>
          </w:rPr>
          <w:instrText>PAGE   \* MERGEFORMAT</w:instrText>
        </w:r>
        <w:r w:rsidRPr="00CB214E">
          <w:rPr>
            <w:rFonts w:asciiTheme="minorHAnsi" w:hAnsiTheme="minorHAnsi"/>
            <w:sz w:val="20"/>
          </w:rPr>
          <w:fldChar w:fldCharType="separate"/>
        </w:r>
        <w:r w:rsidR="00BB3ED6">
          <w:rPr>
            <w:rFonts w:asciiTheme="minorHAnsi" w:hAnsiTheme="minorHAnsi"/>
            <w:noProof/>
            <w:sz w:val="20"/>
          </w:rPr>
          <w:t>7</w:t>
        </w:r>
        <w:r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3B" w:rsidRDefault="0041163B" w:rsidP="00AE50F2">
      <w:r>
        <w:separator/>
      </w:r>
    </w:p>
  </w:footnote>
  <w:footnote w:type="continuationSeparator" w:id="0">
    <w:p w:rsidR="0041163B" w:rsidRDefault="0041163B" w:rsidP="00AE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3B" w:rsidRDefault="0015563B" w:rsidP="008A4E21">
    <w:pPr>
      <w:pStyle w:val="Intestazione"/>
      <w:pBdr>
        <w:bottom w:val="single" w:sz="2" w:space="1" w:color="auto"/>
      </w:pBdr>
      <w:spacing w:after="120"/>
      <w:jc w:val="right"/>
    </w:pPr>
    <w:r>
      <w:rPr>
        <w:noProof/>
      </w:rPr>
      <w:drawing>
        <wp:anchor distT="0" distB="0" distL="114300" distR="114300" simplePos="0" relativeHeight="251665408" behindDoc="0" locked="0" layoutInCell="1" allowOverlap="1" wp14:anchorId="07B0B537" wp14:editId="2124A4F9">
          <wp:simplePos x="0" y="0"/>
          <wp:positionH relativeFrom="column">
            <wp:posOffset>4592320</wp:posOffset>
          </wp:positionH>
          <wp:positionV relativeFrom="paragraph">
            <wp:posOffset>-128905</wp:posOffset>
          </wp:positionV>
          <wp:extent cx="542925" cy="594995"/>
          <wp:effectExtent l="0" t="0" r="9525" b="0"/>
          <wp:wrapNone/>
          <wp:docPr id="9" name="Immagine 9"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762">
      <w:rPr>
        <w:noProof/>
      </w:rPr>
      <w:drawing>
        <wp:anchor distT="0" distB="0" distL="114300" distR="114300" simplePos="0" relativeHeight="251657216" behindDoc="0" locked="0" layoutInCell="1" allowOverlap="1" wp14:anchorId="1741881B" wp14:editId="480F22A3">
          <wp:simplePos x="0" y="0"/>
          <wp:positionH relativeFrom="column">
            <wp:posOffset>-1905</wp:posOffset>
          </wp:positionH>
          <wp:positionV relativeFrom="paragraph">
            <wp:posOffset>-135890</wp:posOffset>
          </wp:positionV>
          <wp:extent cx="978535" cy="5803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981075" cy="457200"/>
          <wp:effectExtent l="0" t="0" r="9525" b="0"/>
          <wp:docPr id="4" name="Immagine 9"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NFCOMMER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3B" w:rsidRDefault="0015563B">
    <w:pPr>
      <w:pStyle w:val="Intestazione"/>
    </w:pPr>
    <w:r>
      <w:rPr>
        <w:noProof/>
      </w:rPr>
      <w:drawing>
        <wp:anchor distT="0" distB="0" distL="114300" distR="114300" simplePos="0" relativeHeight="251667456" behindDoc="0" locked="0" layoutInCell="1" allowOverlap="1">
          <wp:simplePos x="0" y="0"/>
          <wp:positionH relativeFrom="column">
            <wp:posOffset>4985385</wp:posOffset>
          </wp:positionH>
          <wp:positionV relativeFrom="paragraph">
            <wp:posOffset>889635</wp:posOffset>
          </wp:positionV>
          <wp:extent cx="819150" cy="897890"/>
          <wp:effectExtent l="0" t="0" r="0" b="0"/>
          <wp:wrapNone/>
          <wp:docPr id="5"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978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noProof/>
        <w:color w:val="000000"/>
        <w:sz w:val="32"/>
        <w:szCs w:val="32"/>
      </w:rPr>
      <w:drawing>
        <wp:anchor distT="0" distB="0" distL="114300" distR="114300" simplePos="0" relativeHeight="251659264" behindDoc="0" locked="0" layoutInCell="1" allowOverlap="1" wp14:anchorId="51F09898" wp14:editId="161AD40A">
          <wp:simplePos x="0" y="0"/>
          <wp:positionH relativeFrom="column">
            <wp:posOffset>73025</wp:posOffset>
          </wp:positionH>
          <wp:positionV relativeFrom="paragraph">
            <wp:posOffset>864235</wp:posOffset>
          </wp:positionV>
          <wp:extent cx="1540510" cy="91440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914400"/>
                  </a:xfrm>
                  <a:prstGeom prst="rect">
                    <a:avLst/>
                  </a:prstGeom>
                  <a:noFill/>
                  <a:ln>
                    <a:noFill/>
                  </a:ln>
                </pic:spPr>
              </pic:pic>
            </a:graphicData>
          </a:graphic>
          <wp14:sizeRelH relativeFrom="margin">
            <wp14:pctWidth>0</wp14:pctWidth>
          </wp14:sizeRelH>
        </wp:anchor>
      </w:drawing>
    </w:r>
    <w:r w:rsidRPr="002D3762">
      <w:rPr>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02"/>
    <w:rsid w:val="000251ED"/>
    <w:rsid w:val="000268C1"/>
    <w:rsid w:val="00032A42"/>
    <w:rsid w:val="00073B14"/>
    <w:rsid w:val="00077198"/>
    <w:rsid w:val="0009207A"/>
    <w:rsid w:val="000B0BCD"/>
    <w:rsid w:val="000C003A"/>
    <w:rsid w:val="000C1555"/>
    <w:rsid w:val="000D69E5"/>
    <w:rsid w:val="000E17D1"/>
    <w:rsid w:val="00115CDF"/>
    <w:rsid w:val="001534C0"/>
    <w:rsid w:val="0015563B"/>
    <w:rsid w:val="001572CE"/>
    <w:rsid w:val="00170F64"/>
    <w:rsid w:val="00176583"/>
    <w:rsid w:val="001845DF"/>
    <w:rsid w:val="0019429B"/>
    <w:rsid w:val="001A3468"/>
    <w:rsid w:val="001A35B3"/>
    <w:rsid w:val="001C12EE"/>
    <w:rsid w:val="001F0AA4"/>
    <w:rsid w:val="001F1801"/>
    <w:rsid w:val="00233F7C"/>
    <w:rsid w:val="002D3762"/>
    <w:rsid w:val="002D78BD"/>
    <w:rsid w:val="002F6528"/>
    <w:rsid w:val="002F6F6E"/>
    <w:rsid w:val="003175D9"/>
    <w:rsid w:val="00321D49"/>
    <w:rsid w:val="00346ABC"/>
    <w:rsid w:val="003516B6"/>
    <w:rsid w:val="0035263B"/>
    <w:rsid w:val="00364602"/>
    <w:rsid w:val="003678A4"/>
    <w:rsid w:val="003B50D9"/>
    <w:rsid w:val="003D3670"/>
    <w:rsid w:val="0041163B"/>
    <w:rsid w:val="004738DE"/>
    <w:rsid w:val="00480222"/>
    <w:rsid w:val="004A177A"/>
    <w:rsid w:val="004A29DB"/>
    <w:rsid w:val="004A4F2A"/>
    <w:rsid w:val="004D2B7B"/>
    <w:rsid w:val="004D6035"/>
    <w:rsid w:val="005013C2"/>
    <w:rsid w:val="005025ED"/>
    <w:rsid w:val="00504513"/>
    <w:rsid w:val="0050454B"/>
    <w:rsid w:val="0056531D"/>
    <w:rsid w:val="005750E9"/>
    <w:rsid w:val="00575691"/>
    <w:rsid w:val="00583877"/>
    <w:rsid w:val="005A0D42"/>
    <w:rsid w:val="005A6382"/>
    <w:rsid w:val="005B3ACD"/>
    <w:rsid w:val="00671323"/>
    <w:rsid w:val="006A0BF2"/>
    <w:rsid w:val="006C3B5C"/>
    <w:rsid w:val="006C6DE9"/>
    <w:rsid w:val="006D3C3D"/>
    <w:rsid w:val="006E2E9E"/>
    <w:rsid w:val="006F6E3E"/>
    <w:rsid w:val="00707A17"/>
    <w:rsid w:val="00730030"/>
    <w:rsid w:val="00740A87"/>
    <w:rsid w:val="007443E9"/>
    <w:rsid w:val="007A3992"/>
    <w:rsid w:val="007A4858"/>
    <w:rsid w:val="007A64EE"/>
    <w:rsid w:val="007B1694"/>
    <w:rsid w:val="007B44FF"/>
    <w:rsid w:val="007D5AA4"/>
    <w:rsid w:val="007F37E0"/>
    <w:rsid w:val="00802A5B"/>
    <w:rsid w:val="0083793A"/>
    <w:rsid w:val="00864A95"/>
    <w:rsid w:val="008858C8"/>
    <w:rsid w:val="00897A38"/>
    <w:rsid w:val="008A4E21"/>
    <w:rsid w:val="008D7331"/>
    <w:rsid w:val="008E050B"/>
    <w:rsid w:val="0090056D"/>
    <w:rsid w:val="00915F00"/>
    <w:rsid w:val="0099794E"/>
    <w:rsid w:val="009A328E"/>
    <w:rsid w:val="009C5CE1"/>
    <w:rsid w:val="009C78FC"/>
    <w:rsid w:val="009D67DC"/>
    <w:rsid w:val="009D7668"/>
    <w:rsid w:val="009E7B3C"/>
    <w:rsid w:val="009F3C49"/>
    <w:rsid w:val="00A20A33"/>
    <w:rsid w:val="00A21056"/>
    <w:rsid w:val="00A23258"/>
    <w:rsid w:val="00A52092"/>
    <w:rsid w:val="00A730BA"/>
    <w:rsid w:val="00AC5889"/>
    <w:rsid w:val="00AD3815"/>
    <w:rsid w:val="00AE50F2"/>
    <w:rsid w:val="00B176F1"/>
    <w:rsid w:val="00B21983"/>
    <w:rsid w:val="00B23B9D"/>
    <w:rsid w:val="00B341AE"/>
    <w:rsid w:val="00B37398"/>
    <w:rsid w:val="00B41D26"/>
    <w:rsid w:val="00B605A0"/>
    <w:rsid w:val="00B74650"/>
    <w:rsid w:val="00BB3ED6"/>
    <w:rsid w:val="00BC5846"/>
    <w:rsid w:val="00C50228"/>
    <w:rsid w:val="00C61B0B"/>
    <w:rsid w:val="00C71A77"/>
    <w:rsid w:val="00C72373"/>
    <w:rsid w:val="00C765C8"/>
    <w:rsid w:val="00C86D36"/>
    <w:rsid w:val="00CB214E"/>
    <w:rsid w:val="00CB4779"/>
    <w:rsid w:val="00CC3C69"/>
    <w:rsid w:val="00CC76A7"/>
    <w:rsid w:val="00CF2ECA"/>
    <w:rsid w:val="00D3726F"/>
    <w:rsid w:val="00D50CA5"/>
    <w:rsid w:val="00D8778F"/>
    <w:rsid w:val="00DB0182"/>
    <w:rsid w:val="00DB5FBA"/>
    <w:rsid w:val="00DF5534"/>
    <w:rsid w:val="00DF6093"/>
    <w:rsid w:val="00E116C8"/>
    <w:rsid w:val="00E22790"/>
    <w:rsid w:val="00E27478"/>
    <w:rsid w:val="00E65333"/>
    <w:rsid w:val="00E7663C"/>
    <w:rsid w:val="00E80022"/>
    <w:rsid w:val="00E9116D"/>
    <w:rsid w:val="00E9333A"/>
    <w:rsid w:val="00EA36C5"/>
    <w:rsid w:val="00EB6E74"/>
    <w:rsid w:val="00EC469A"/>
    <w:rsid w:val="00EE766C"/>
    <w:rsid w:val="00EF2F69"/>
    <w:rsid w:val="00F07FAE"/>
    <w:rsid w:val="00F13CF1"/>
    <w:rsid w:val="00F171FB"/>
    <w:rsid w:val="00F21E09"/>
    <w:rsid w:val="00F27FA9"/>
    <w:rsid w:val="00F335F2"/>
    <w:rsid w:val="00F537B5"/>
    <w:rsid w:val="00F56574"/>
    <w:rsid w:val="00F63B06"/>
    <w:rsid w:val="00F9000B"/>
    <w:rsid w:val="00F910D0"/>
    <w:rsid w:val="00FC4118"/>
    <w:rsid w:val="00FC4DF6"/>
    <w:rsid w:val="00FC7BBB"/>
    <w:rsid w:val="00FD5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6327-5BD1-4652-9883-BCCE8293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Molignoni</dc:creator>
  <cp:lastModifiedBy>moretti</cp:lastModifiedBy>
  <cp:revision>3</cp:revision>
  <cp:lastPrinted>2014-07-31T12:04:00Z</cp:lastPrinted>
  <dcterms:created xsi:type="dcterms:W3CDTF">2014-08-01T10:39:00Z</dcterms:created>
  <dcterms:modified xsi:type="dcterms:W3CDTF">2014-08-01T11:57:00Z</dcterms:modified>
</cp:coreProperties>
</file>