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E1" w:rsidRDefault="00372EE8" w:rsidP="00C62E7F">
      <w:pPr>
        <w:jc w:val="right"/>
        <w:rPr>
          <w:sz w:val="16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-408940</wp:posOffset>
            </wp:positionV>
            <wp:extent cx="2400300" cy="106553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62E7F">
        <w:rPr>
          <w:sz w:val="16"/>
        </w:rPr>
        <w:t xml:space="preserve"> </w:t>
      </w:r>
    </w:p>
    <w:p w:rsidR="002133E1" w:rsidRDefault="002133E1" w:rsidP="00967F61">
      <w:pPr>
        <w:pStyle w:val="Corpotesto"/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</w:p>
    <w:p w:rsidR="003C3259" w:rsidRDefault="002B638E" w:rsidP="00424437">
      <w:pPr>
        <w:pStyle w:val="Corpotesto"/>
        <w:autoSpaceDE w:val="0"/>
        <w:autoSpaceDN w:val="0"/>
        <w:adjustRightInd w:val="0"/>
        <w:jc w:val="center"/>
        <w:rPr>
          <w:rFonts w:ascii="Verdana" w:hAnsi="Verdana"/>
          <w:b/>
          <w:sz w:val="20"/>
        </w:rPr>
      </w:pPr>
      <w:r w:rsidRPr="002B638E">
        <w:rPr>
          <w:rFonts w:ascii="Verdana" w:hAnsi="Verdana"/>
          <w:b/>
          <w:sz w:val="20"/>
        </w:rPr>
        <w:t>Fig. 1</w:t>
      </w:r>
    </w:p>
    <w:p w:rsidR="00B1563D" w:rsidRDefault="00C270F9" w:rsidP="00424437">
      <w:pPr>
        <w:pStyle w:val="Corpotesto"/>
        <w:autoSpaceDE w:val="0"/>
        <w:autoSpaceDN w:val="0"/>
        <w:adjustRightInd w:val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w:drawing>
          <wp:inline distT="0" distB="0" distL="0" distR="0" wp14:anchorId="63A1A2DA">
            <wp:extent cx="4659086" cy="2835783"/>
            <wp:effectExtent l="0" t="0" r="8255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094" cy="28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41C" w:rsidRDefault="00C1141C" w:rsidP="00424437">
      <w:pPr>
        <w:pStyle w:val="Corpotesto"/>
        <w:autoSpaceDE w:val="0"/>
        <w:autoSpaceDN w:val="0"/>
        <w:adjustRightInd w:val="0"/>
        <w:jc w:val="center"/>
        <w:rPr>
          <w:rFonts w:ascii="Verdana" w:hAnsi="Verdana"/>
          <w:b/>
          <w:noProof/>
          <w:sz w:val="20"/>
        </w:rPr>
      </w:pPr>
    </w:p>
    <w:p w:rsidR="003C3259" w:rsidRPr="00411181" w:rsidRDefault="00424437" w:rsidP="00812596">
      <w:pPr>
        <w:autoSpaceDE w:val="0"/>
        <w:autoSpaceDN w:val="0"/>
        <w:adjustRightInd w:val="0"/>
        <w:ind w:firstLine="1560"/>
        <w:jc w:val="both"/>
        <w:rPr>
          <w:rFonts w:ascii="Verdana" w:hAnsi="Verdana"/>
          <w:i/>
          <w:sz w:val="18"/>
          <w:szCs w:val="18"/>
        </w:rPr>
      </w:pPr>
      <w:r w:rsidRPr="00411181">
        <w:rPr>
          <w:rFonts w:ascii="Verdana" w:hAnsi="Verdana"/>
          <w:i/>
          <w:sz w:val="18"/>
          <w:szCs w:val="18"/>
        </w:rPr>
        <w:t>Fonte: elaborazioni Ufficio Studi Confcommercio</w:t>
      </w:r>
    </w:p>
    <w:p w:rsidR="00411181" w:rsidRDefault="00411181" w:rsidP="00E50358">
      <w:pPr>
        <w:pStyle w:val="Corpotesto"/>
        <w:autoSpaceDE w:val="0"/>
        <w:autoSpaceDN w:val="0"/>
        <w:adjustRightInd w:val="0"/>
        <w:jc w:val="center"/>
        <w:rPr>
          <w:rFonts w:ascii="Verdana" w:hAnsi="Verdana"/>
          <w:sz w:val="20"/>
        </w:rPr>
      </w:pPr>
    </w:p>
    <w:p w:rsidR="001B2B4E" w:rsidRDefault="001B2B4E" w:rsidP="00812596">
      <w:pPr>
        <w:pStyle w:val="Corpotesto"/>
        <w:autoSpaceDE w:val="0"/>
        <w:autoSpaceDN w:val="0"/>
        <w:adjustRightInd w:val="0"/>
        <w:jc w:val="center"/>
        <w:rPr>
          <w:rFonts w:ascii="Verdana" w:hAnsi="Verdana"/>
          <w:sz w:val="20"/>
        </w:rPr>
      </w:pPr>
    </w:p>
    <w:p w:rsidR="00812596" w:rsidRDefault="00812596" w:rsidP="00812596">
      <w:pPr>
        <w:pStyle w:val="Corpotesto"/>
        <w:autoSpaceDE w:val="0"/>
        <w:autoSpaceDN w:val="0"/>
        <w:adjustRightInd w:val="0"/>
        <w:jc w:val="center"/>
        <w:rPr>
          <w:rFonts w:ascii="Verdana" w:hAnsi="Verdana"/>
          <w:sz w:val="20"/>
        </w:rPr>
      </w:pPr>
    </w:p>
    <w:p w:rsidR="00E371E9" w:rsidRDefault="00E371E9" w:rsidP="00E371E9">
      <w:pPr>
        <w:pStyle w:val="Corpotesto"/>
        <w:autoSpaceDE w:val="0"/>
        <w:autoSpaceDN w:val="0"/>
        <w:adjustRightInd w:val="0"/>
        <w:jc w:val="center"/>
        <w:rPr>
          <w:rFonts w:ascii="Verdana" w:hAnsi="Verdana"/>
          <w:b/>
          <w:sz w:val="20"/>
        </w:rPr>
      </w:pPr>
      <w:r w:rsidRPr="002B638E">
        <w:rPr>
          <w:rFonts w:ascii="Verdana" w:hAnsi="Verdana"/>
          <w:b/>
          <w:sz w:val="20"/>
        </w:rPr>
        <w:t xml:space="preserve">Fig. </w:t>
      </w:r>
      <w:r>
        <w:rPr>
          <w:rFonts w:ascii="Verdana" w:hAnsi="Verdana"/>
          <w:b/>
          <w:sz w:val="20"/>
        </w:rPr>
        <w:t>2</w:t>
      </w:r>
    </w:p>
    <w:p w:rsidR="00E371E9" w:rsidRDefault="00E371E9" w:rsidP="0052401B">
      <w:pPr>
        <w:pStyle w:val="Corpotesto"/>
        <w:autoSpaceDE w:val="0"/>
        <w:autoSpaceDN w:val="0"/>
        <w:adjustRightInd w:val="0"/>
        <w:ind w:left="1134"/>
        <w:rPr>
          <w:rFonts w:ascii="Verdana" w:hAnsi="Verdana"/>
          <w:sz w:val="20"/>
        </w:rPr>
      </w:pPr>
    </w:p>
    <w:p w:rsidR="0052401B" w:rsidRDefault="00430E01" w:rsidP="00430E01">
      <w:pPr>
        <w:pStyle w:val="Corpotesto"/>
        <w:autoSpaceDE w:val="0"/>
        <w:autoSpaceDN w:val="0"/>
        <w:adjustRightInd w:val="0"/>
        <w:ind w:left="1134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7C564641">
            <wp:extent cx="5072743" cy="313319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67" cy="3137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3D2" w:rsidRPr="00411181" w:rsidRDefault="002C63D2" w:rsidP="00812596">
      <w:pPr>
        <w:autoSpaceDE w:val="0"/>
        <w:autoSpaceDN w:val="0"/>
        <w:adjustRightInd w:val="0"/>
        <w:ind w:firstLine="1560"/>
        <w:jc w:val="both"/>
        <w:rPr>
          <w:rFonts w:ascii="Verdana" w:hAnsi="Verdana"/>
          <w:i/>
          <w:sz w:val="18"/>
          <w:szCs w:val="18"/>
        </w:rPr>
      </w:pPr>
      <w:r w:rsidRPr="00411181">
        <w:rPr>
          <w:rFonts w:ascii="Verdana" w:hAnsi="Verdana"/>
          <w:i/>
          <w:sz w:val="18"/>
          <w:szCs w:val="18"/>
        </w:rPr>
        <w:t>Fonte: elaborazioni Ufficio Studi Confcommercio</w:t>
      </w:r>
    </w:p>
    <w:p w:rsidR="00412CE3" w:rsidRDefault="00412CE3" w:rsidP="00412CE3">
      <w:pPr>
        <w:pStyle w:val="Corpotesto"/>
        <w:tabs>
          <w:tab w:val="left" w:pos="1646"/>
        </w:tabs>
        <w:autoSpaceDE w:val="0"/>
        <w:autoSpaceDN w:val="0"/>
        <w:adjustRightInd w:val="0"/>
        <w:rPr>
          <w:rFonts w:ascii="Verdana" w:hAnsi="Verdana"/>
          <w:sz w:val="20"/>
        </w:rPr>
      </w:pPr>
    </w:p>
    <w:p w:rsidR="00812596" w:rsidRDefault="00812596" w:rsidP="00412CE3">
      <w:pPr>
        <w:pStyle w:val="Corpotesto"/>
        <w:tabs>
          <w:tab w:val="left" w:pos="1646"/>
        </w:tabs>
        <w:autoSpaceDE w:val="0"/>
        <w:autoSpaceDN w:val="0"/>
        <w:adjustRightInd w:val="0"/>
        <w:rPr>
          <w:rFonts w:ascii="Verdana" w:hAnsi="Verdana"/>
          <w:sz w:val="20"/>
        </w:rPr>
      </w:pPr>
    </w:p>
    <w:p w:rsidR="00411181" w:rsidRDefault="00411181" w:rsidP="00411181">
      <w:pPr>
        <w:rPr>
          <w:rFonts w:ascii="Verdana" w:hAnsi="Verdana"/>
          <w:b/>
          <w:bCs/>
          <w:sz w:val="20"/>
        </w:rPr>
      </w:pPr>
      <w:proofErr w:type="spellStart"/>
      <w:r>
        <w:rPr>
          <w:rFonts w:ascii="Verdana" w:hAnsi="Verdana"/>
          <w:b/>
          <w:bCs/>
          <w:sz w:val="20"/>
        </w:rPr>
        <w:t>Tab</w:t>
      </w:r>
      <w:proofErr w:type="spellEnd"/>
      <w:r>
        <w:rPr>
          <w:rFonts w:ascii="Verdana" w:hAnsi="Verdana"/>
          <w:b/>
          <w:bCs/>
          <w:sz w:val="20"/>
        </w:rPr>
        <w:t>. 1 - DINAMICA DELL’ICC IN VALORE - VARIAZIONI TENDENZIALI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992"/>
        <w:gridCol w:w="1134"/>
        <w:gridCol w:w="1134"/>
        <w:gridCol w:w="993"/>
        <w:gridCol w:w="992"/>
        <w:gridCol w:w="992"/>
      </w:tblGrid>
      <w:tr w:rsidR="00053D6F" w:rsidRPr="00053D6F" w:rsidTr="00B27753">
        <w:trPr>
          <w:trHeight w:val="204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053D6F" w:rsidRDefault="00053D6F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053D6F" w:rsidRDefault="00053D6F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3D6F">
              <w:rPr>
                <w:rFonts w:ascii="Verdana" w:hAnsi="Verdana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053D6F" w:rsidRDefault="00053D6F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3D6F">
              <w:rPr>
                <w:rFonts w:ascii="Verdana" w:hAnsi="Verdana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053D6F" w:rsidRDefault="00053D6F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53D6F" w:rsidRPr="00053D6F" w:rsidTr="00B27753">
        <w:trPr>
          <w:trHeight w:val="204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053D6F" w:rsidRDefault="00053D6F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3D6F" w:rsidRPr="00053D6F" w:rsidRDefault="00053D6F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3D6F">
              <w:rPr>
                <w:rFonts w:ascii="Verdana" w:hAnsi="Verdana"/>
                <w:b/>
                <w:bCs/>
                <w:sz w:val="18"/>
                <w:szCs w:val="18"/>
              </w:rPr>
              <w:t>ANNO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3D6F" w:rsidRPr="00053D6F" w:rsidRDefault="00053D6F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3D6F">
              <w:rPr>
                <w:rFonts w:ascii="Verdana" w:hAnsi="Verdana"/>
                <w:b/>
                <w:bCs/>
                <w:sz w:val="18"/>
                <w:szCs w:val="18"/>
              </w:rPr>
              <w:t>I Trim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3D6F" w:rsidRPr="00053D6F" w:rsidRDefault="00053D6F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3D6F">
              <w:rPr>
                <w:rFonts w:ascii="Verdana" w:hAnsi="Verdana"/>
                <w:b/>
                <w:bCs/>
                <w:sz w:val="18"/>
                <w:szCs w:val="18"/>
              </w:rPr>
              <w:t>II Trim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B27753">
              <w:rPr>
                <w:rFonts w:ascii="Verdana" w:hAnsi="Verdana"/>
                <w:bCs/>
                <w:sz w:val="18"/>
                <w:szCs w:val="18"/>
              </w:rPr>
              <w:t>Apr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B27753">
              <w:rPr>
                <w:rFonts w:ascii="Verdana" w:hAnsi="Verdana"/>
                <w:bCs/>
                <w:sz w:val="18"/>
                <w:szCs w:val="18"/>
              </w:rPr>
              <w:t>Mag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B27753">
              <w:rPr>
                <w:rFonts w:ascii="Verdana" w:hAnsi="Verdana"/>
                <w:bCs/>
                <w:sz w:val="18"/>
                <w:szCs w:val="18"/>
              </w:rPr>
              <w:t>Giu</w:t>
            </w:r>
            <w:proofErr w:type="spellEnd"/>
          </w:p>
        </w:tc>
      </w:tr>
      <w:tr w:rsidR="00053D6F" w:rsidRPr="00B27753" w:rsidTr="00B27753">
        <w:trPr>
          <w:trHeight w:val="20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B27753" w:rsidRDefault="00053D6F" w:rsidP="00053D6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E85F9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53D6F" w:rsidRPr="00B27753">
              <w:rPr>
                <w:rFonts w:ascii="Verdana" w:hAnsi="Verdana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0,6</w:t>
            </w:r>
          </w:p>
        </w:tc>
      </w:tr>
      <w:tr w:rsidR="00053D6F" w:rsidRPr="00B27753" w:rsidTr="00B27753">
        <w:trPr>
          <w:trHeight w:val="20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B27753" w:rsidRDefault="00053D6F" w:rsidP="00053D6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BENI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E85F9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53D6F" w:rsidRPr="00B27753">
              <w:rPr>
                <w:rFonts w:ascii="Verdana" w:hAnsi="Verdana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-0,3</w:t>
            </w:r>
          </w:p>
        </w:tc>
      </w:tr>
      <w:tr w:rsidR="00053D6F" w:rsidRPr="00B27753" w:rsidTr="00B27753">
        <w:trPr>
          <w:trHeight w:val="20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B27753" w:rsidRDefault="00053D6F" w:rsidP="00053D6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E85F9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53D6F" w:rsidRPr="00B27753">
              <w:rPr>
                <w:rFonts w:ascii="Verdana" w:hAnsi="Verdana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0,0</w:t>
            </w:r>
          </w:p>
        </w:tc>
      </w:tr>
      <w:tr w:rsidR="00053D6F" w:rsidRPr="00B27753" w:rsidTr="00B27753">
        <w:trPr>
          <w:trHeight w:val="20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B27753" w:rsidRDefault="00053D6F" w:rsidP="00053D6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3D6F" w:rsidRPr="00B27753" w:rsidTr="00B27753">
        <w:trPr>
          <w:trHeight w:val="20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B27753" w:rsidRDefault="00053D6F" w:rsidP="00053D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lastRenderedPageBreak/>
              <w:t>Beni e servizi ricreativi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E85F9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53D6F" w:rsidRPr="00B27753">
              <w:rPr>
                <w:rFonts w:ascii="Verdana" w:hAnsi="Verdan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0,1</w:t>
            </w:r>
          </w:p>
        </w:tc>
      </w:tr>
      <w:tr w:rsidR="00053D6F" w:rsidRPr="00B27753" w:rsidTr="00B27753">
        <w:trPr>
          <w:trHeight w:val="20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B27753" w:rsidRDefault="00053D6F" w:rsidP="00053D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Alberghi, pasti e consumazioni fuori casa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E85F9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53D6F" w:rsidRPr="00B27753">
              <w:rPr>
                <w:rFonts w:ascii="Verdana" w:hAnsi="Verdana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2,0</w:t>
            </w:r>
          </w:p>
        </w:tc>
      </w:tr>
      <w:tr w:rsidR="00053D6F" w:rsidRPr="00B27753" w:rsidTr="00B27753">
        <w:trPr>
          <w:trHeight w:val="20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B27753" w:rsidRDefault="00053D6F" w:rsidP="00053D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Beni e servizi per la mobilità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-0,8</w:t>
            </w:r>
          </w:p>
        </w:tc>
      </w:tr>
      <w:tr w:rsidR="00053D6F" w:rsidRPr="00B27753" w:rsidTr="00B27753">
        <w:trPr>
          <w:trHeight w:val="20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B27753" w:rsidRDefault="00053D6F" w:rsidP="00053D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Beni e servizi per le comunicazioni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-5,3</w:t>
            </w:r>
          </w:p>
        </w:tc>
      </w:tr>
      <w:tr w:rsidR="00053D6F" w:rsidRPr="00B27753" w:rsidTr="00B27753">
        <w:trPr>
          <w:trHeight w:val="20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B27753" w:rsidRDefault="00053D6F" w:rsidP="00053D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Beni e servizi per la cura della persona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0,2</w:t>
            </w:r>
          </w:p>
        </w:tc>
      </w:tr>
      <w:tr w:rsidR="00053D6F" w:rsidRPr="00B27753" w:rsidTr="00B27753">
        <w:trPr>
          <w:trHeight w:val="20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B27753" w:rsidRDefault="00053D6F" w:rsidP="00053D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Abbigliamento e calzature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E85F9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53D6F" w:rsidRPr="00B27753">
              <w:rPr>
                <w:rFonts w:ascii="Verdana" w:hAnsi="Verdana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E85F94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053D6F" w:rsidRPr="00B27753">
              <w:rPr>
                <w:rFonts w:ascii="Verdana" w:hAnsi="Verdana"/>
                <w:bCs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-0,8</w:t>
            </w:r>
          </w:p>
        </w:tc>
      </w:tr>
      <w:tr w:rsidR="00053D6F" w:rsidRPr="00B27753" w:rsidTr="00B27753">
        <w:trPr>
          <w:trHeight w:val="20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B27753" w:rsidRDefault="00053D6F" w:rsidP="00053D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Beni e servizi per la casa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-0,4</w:t>
            </w:r>
          </w:p>
        </w:tc>
      </w:tr>
      <w:tr w:rsidR="00053D6F" w:rsidRPr="00B27753" w:rsidTr="00B27753">
        <w:trPr>
          <w:trHeight w:val="204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D6F" w:rsidRPr="00B27753" w:rsidRDefault="00053D6F" w:rsidP="00053D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Alimentari, bevande e tabacchi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E85F9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53D6F" w:rsidRPr="00B27753">
              <w:rPr>
                <w:rFonts w:ascii="Verdana" w:hAnsi="Verdana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3D6F" w:rsidRPr="00B27753" w:rsidRDefault="00053D6F" w:rsidP="00B27753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Cs/>
                <w:sz w:val="16"/>
                <w:szCs w:val="16"/>
              </w:rPr>
              <w:t>0,0</w:t>
            </w:r>
          </w:p>
        </w:tc>
      </w:tr>
    </w:tbl>
    <w:p w:rsidR="00411181" w:rsidRPr="00411181" w:rsidRDefault="00411181" w:rsidP="00411181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  <w:r w:rsidRPr="00411181">
        <w:rPr>
          <w:rFonts w:ascii="Verdana" w:hAnsi="Verdana"/>
          <w:i/>
          <w:sz w:val="18"/>
          <w:szCs w:val="18"/>
        </w:rPr>
        <w:t>Fonte: elaborazioni Ufficio Studi Confcommercio</w:t>
      </w:r>
    </w:p>
    <w:p w:rsidR="00737E00" w:rsidRDefault="00737E00" w:rsidP="00411181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812596" w:rsidRDefault="00812596" w:rsidP="00411181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411181" w:rsidRDefault="00411181" w:rsidP="00411181">
      <w:pPr>
        <w:pStyle w:val="Titolo3"/>
        <w:jc w:val="left"/>
        <w:rPr>
          <w:rFonts w:ascii="Verdana" w:hAnsi="Verdana"/>
          <w:i w:val="0"/>
          <w:iCs w:val="0"/>
          <w:color w:val="auto"/>
          <w:sz w:val="20"/>
        </w:rPr>
      </w:pPr>
      <w:proofErr w:type="spellStart"/>
      <w:r>
        <w:rPr>
          <w:rFonts w:ascii="Verdana" w:hAnsi="Verdana"/>
          <w:i w:val="0"/>
          <w:iCs w:val="0"/>
          <w:color w:val="auto"/>
          <w:sz w:val="20"/>
        </w:rPr>
        <w:t>Tab</w:t>
      </w:r>
      <w:proofErr w:type="spellEnd"/>
      <w:r>
        <w:rPr>
          <w:rFonts w:ascii="Verdana" w:hAnsi="Verdana"/>
          <w:i w:val="0"/>
          <w:iCs w:val="0"/>
          <w:color w:val="auto"/>
          <w:sz w:val="20"/>
        </w:rPr>
        <w:t xml:space="preserve">. 2 - </w:t>
      </w:r>
      <w:r w:rsidRPr="00411181">
        <w:rPr>
          <w:rFonts w:ascii="Verdana" w:hAnsi="Verdana"/>
          <w:i w:val="0"/>
          <w:iCs w:val="0"/>
          <w:color w:val="auto"/>
          <w:sz w:val="20"/>
        </w:rPr>
        <w:t>DINAMICA DELL’ICC IN QUANTITA’ - VARIAZIONI TENDENZIALI</w:t>
      </w:r>
    </w:p>
    <w:tbl>
      <w:tblPr>
        <w:tblW w:w="9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9"/>
        <w:gridCol w:w="1021"/>
        <w:gridCol w:w="1021"/>
        <w:gridCol w:w="1021"/>
        <w:gridCol w:w="964"/>
        <w:gridCol w:w="964"/>
        <w:gridCol w:w="964"/>
      </w:tblGrid>
      <w:tr w:rsidR="007F2024" w:rsidRPr="00B27753" w:rsidTr="00C53C04">
        <w:trPr>
          <w:trHeight w:val="240"/>
        </w:trPr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7753">
              <w:rPr>
                <w:rFonts w:ascii="Verdana" w:hAnsi="Verdana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7753">
              <w:rPr>
                <w:rFonts w:ascii="Verdana" w:hAnsi="Verdana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F2024" w:rsidRPr="00B27753" w:rsidTr="00C53C04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7753">
              <w:rPr>
                <w:rFonts w:ascii="Verdana" w:hAnsi="Verdana"/>
                <w:b/>
                <w:bCs/>
                <w:sz w:val="18"/>
                <w:szCs w:val="18"/>
              </w:rPr>
              <w:t>ANNO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7753">
              <w:rPr>
                <w:rFonts w:ascii="Verdana" w:hAnsi="Verdana"/>
                <w:b/>
                <w:bCs/>
                <w:sz w:val="18"/>
                <w:szCs w:val="18"/>
              </w:rPr>
              <w:t>I Trim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7753">
              <w:rPr>
                <w:rFonts w:ascii="Verdana" w:hAnsi="Verdana"/>
                <w:b/>
                <w:bCs/>
                <w:sz w:val="18"/>
                <w:szCs w:val="18"/>
              </w:rPr>
              <w:t>II Trim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27753">
              <w:rPr>
                <w:rFonts w:ascii="Verdana" w:hAnsi="Verdana"/>
                <w:sz w:val="18"/>
                <w:szCs w:val="18"/>
              </w:rPr>
              <w:t>Apr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27753">
              <w:rPr>
                <w:rFonts w:ascii="Verdana" w:hAnsi="Verdana"/>
                <w:sz w:val="18"/>
                <w:szCs w:val="18"/>
              </w:rPr>
              <w:t>Mag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27753">
              <w:rPr>
                <w:rFonts w:ascii="Verdana" w:hAnsi="Verdana"/>
                <w:sz w:val="18"/>
                <w:szCs w:val="18"/>
              </w:rPr>
              <w:t>Giu</w:t>
            </w:r>
            <w:proofErr w:type="spellEnd"/>
          </w:p>
        </w:tc>
      </w:tr>
      <w:tr w:rsidR="007F2024" w:rsidRPr="00B27753" w:rsidTr="00C53C04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7F202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C6684C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F2024" w:rsidRPr="00B27753">
              <w:rPr>
                <w:rFonts w:ascii="Verdana" w:hAnsi="Verdana"/>
                <w:b/>
                <w:bCs/>
                <w:sz w:val="16"/>
                <w:szCs w:val="16"/>
              </w:rPr>
              <w:t>-0,5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1,0</w:t>
            </w:r>
          </w:p>
        </w:tc>
      </w:tr>
      <w:tr w:rsidR="007F2024" w:rsidRPr="00B27753" w:rsidTr="00C53C04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7F202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BENI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2F5858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F2024" w:rsidRPr="00B27753">
              <w:rPr>
                <w:rFonts w:ascii="Verdana" w:hAnsi="Verdana"/>
                <w:b/>
                <w:bCs/>
                <w:sz w:val="16"/>
                <w:szCs w:val="16"/>
              </w:rPr>
              <w:t>-3,4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C6684C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F2024" w:rsidRPr="00B27753">
              <w:rPr>
                <w:rFonts w:ascii="Verdana" w:hAnsi="Verdana"/>
                <w:b/>
                <w:bCs/>
                <w:sz w:val="16"/>
                <w:szCs w:val="16"/>
              </w:rPr>
              <w:t>-1,5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7F2024" w:rsidRPr="00B27753" w:rsidTr="00C53C04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7F202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2F5858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F2024" w:rsidRPr="00B27753">
              <w:rPr>
                <w:rFonts w:ascii="Verdana" w:hAnsi="Verdana"/>
                <w:b/>
                <w:bCs/>
                <w:sz w:val="16"/>
                <w:szCs w:val="16"/>
              </w:rPr>
              <w:t>-3,1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C6684C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F2024" w:rsidRPr="00B27753">
              <w:rPr>
                <w:rFonts w:ascii="Verdana" w:hAnsi="Verdana"/>
                <w:b/>
                <w:bCs/>
                <w:sz w:val="16"/>
                <w:szCs w:val="16"/>
              </w:rPr>
              <w:t>-1,2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0,4</w:t>
            </w:r>
          </w:p>
        </w:tc>
      </w:tr>
      <w:tr w:rsidR="007F2024" w:rsidRPr="00B27753" w:rsidTr="00C53C04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7F20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F2024" w:rsidRPr="00B27753" w:rsidTr="00C53C04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7F2024">
            <w:pPr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Beni e servizi ricreativi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2F5858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F2024" w:rsidRPr="00B27753">
              <w:rPr>
                <w:rFonts w:ascii="Verdana" w:hAnsi="Verdana"/>
                <w:b/>
                <w:bCs/>
                <w:sz w:val="16"/>
                <w:szCs w:val="16"/>
              </w:rPr>
              <w:t>-3,3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1,3</w:t>
            </w:r>
          </w:p>
        </w:tc>
      </w:tr>
      <w:tr w:rsidR="007F2024" w:rsidRPr="00B27753" w:rsidTr="00C53C04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7F2024">
            <w:pPr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Alberghi, pasti e consumazioni fuori casa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2F5858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F2024" w:rsidRPr="00B27753">
              <w:rPr>
                <w:rFonts w:ascii="Verdana" w:hAnsi="Verdana"/>
                <w:b/>
                <w:bCs/>
                <w:sz w:val="16"/>
                <w:szCs w:val="16"/>
              </w:rPr>
              <w:t>-2,9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1,1</w:t>
            </w:r>
          </w:p>
        </w:tc>
      </w:tr>
      <w:tr w:rsidR="007F2024" w:rsidRPr="00B27753" w:rsidTr="00C53C04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7F2024">
            <w:pPr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Beni e servizi per la mobilità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2F5858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F2024" w:rsidRPr="00B27753">
              <w:rPr>
                <w:rFonts w:ascii="Verdana" w:hAnsi="Verdana"/>
                <w:b/>
                <w:bCs/>
                <w:sz w:val="16"/>
                <w:szCs w:val="16"/>
              </w:rPr>
              <w:t>-5,5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-1,1</w:t>
            </w:r>
          </w:p>
        </w:tc>
      </w:tr>
      <w:tr w:rsidR="007F2024" w:rsidRPr="00B27753" w:rsidTr="00C53C04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7F2024">
            <w:pPr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Beni e servizi per le comunicazioni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2F5858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="007F2024" w:rsidRPr="00B27753">
              <w:rPr>
                <w:rFonts w:ascii="Verdana" w:hAnsi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3,8</w:t>
            </w:r>
          </w:p>
        </w:tc>
      </w:tr>
      <w:tr w:rsidR="007F2024" w:rsidRPr="00B27753" w:rsidTr="00C53C04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7F2024">
            <w:pPr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Beni e servizi per la cura della persona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2F5858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F2024" w:rsidRPr="00B27753">
              <w:rPr>
                <w:rFonts w:ascii="Verdana" w:hAnsi="Verdana"/>
                <w:b/>
                <w:bCs/>
                <w:sz w:val="16"/>
                <w:szCs w:val="16"/>
              </w:rPr>
              <w:t>-2,0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0,8</w:t>
            </w:r>
          </w:p>
        </w:tc>
      </w:tr>
      <w:tr w:rsidR="007F2024" w:rsidRPr="00B27753" w:rsidTr="00C53C04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7F2024">
            <w:pPr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Abbigliamento e calzature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2F5858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F2024" w:rsidRPr="00B27753">
              <w:rPr>
                <w:rFonts w:ascii="Verdana" w:hAnsi="Verdana"/>
                <w:b/>
                <w:bCs/>
                <w:sz w:val="16"/>
                <w:szCs w:val="16"/>
              </w:rPr>
              <w:t>-3,1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-1,1</w:t>
            </w:r>
          </w:p>
        </w:tc>
      </w:tr>
      <w:tr w:rsidR="007F2024" w:rsidRPr="00B27753" w:rsidTr="00C53C04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7F2024">
            <w:pPr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Beni e servizi per la casa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2F5858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F2024" w:rsidRPr="00B27753">
              <w:rPr>
                <w:rFonts w:ascii="Verdana" w:hAnsi="Verdana"/>
                <w:b/>
                <w:bCs/>
                <w:sz w:val="16"/>
                <w:szCs w:val="16"/>
              </w:rPr>
              <w:t>-2,6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-1,7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-0,8</w:t>
            </w:r>
          </w:p>
        </w:tc>
      </w:tr>
      <w:tr w:rsidR="007F2024" w:rsidRPr="00B27753" w:rsidTr="00C53C04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24" w:rsidRPr="00B27753" w:rsidRDefault="007F2024" w:rsidP="007F2024">
            <w:pPr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Alimentari, bevande e tabacchi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2F5858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F2024" w:rsidRPr="00B27753">
              <w:rPr>
                <w:rFonts w:ascii="Verdana" w:hAnsi="Verdana"/>
                <w:b/>
                <w:bCs/>
                <w:sz w:val="16"/>
                <w:szCs w:val="16"/>
              </w:rPr>
              <w:t>-3,8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024" w:rsidRPr="00B27753" w:rsidRDefault="007F2024" w:rsidP="00B277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</w:tbl>
    <w:p w:rsidR="00411181" w:rsidRPr="00411181" w:rsidRDefault="00411181" w:rsidP="00411181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  <w:r w:rsidRPr="00411181">
        <w:rPr>
          <w:rFonts w:ascii="Verdana" w:hAnsi="Verdana"/>
          <w:i/>
          <w:sz w:val="18"/>
          <w:szCs w:val="18"/>
        </w:rPr>
        <w:t>Fonte: elaborazioni Ufficio Studi Confcommercio</w:t>
      </w:r>
    </w:p>
    <w:p w:rsidR="00737E00" w:rsidRDefault="00737E00" w:rsidP="00737E00">
      <w:pPr>
        <w:rPr>
          <w:sz w:val="22"/>
          <w:szCs w:val="22"/>
        </w:rPr>
      </w:pPr>
    </w:p>
    <w:p w:rsidR="00812596" w:rsidRPr="00596C48" w:rsidRDefault="00812596" w:rsidP="00737E00">
      <w:pPr>
        <w:rPr>
          <w:sz w:val="22"/>
          <w:szCs w:val="22"/>
        </w:rPr>
      </w:pPr>
    </w:p>
    <w:p w:rsidR="00812596" w:rsidRDefault="00812596">
      <w:pPr>
        <w:rPr>
          <w:rFonts w:ascii="Verdana" w:hAnsi="Verdana"/>
          <w:b/>
          <w:bCs/>
          <w:sz w:val="20"/>
        </w:rPr>
      </w:pPr>
    </w:p>
    <w:p w:rsidR="00193AA4" w:rsidRDefault="00193AA4" w:rsidP="00193AA4">
      <w:pPr>
        <w:rPr>
          <w:rFonts w:ascii="Verdana" w:hAnsi="Verdana"/>
          <w:b/>
          <w:bCs/>
          <w:sz w:val="20"/>
        </w:rPr>
      </w:pPr>
      <w:proofErr w:type="spellStart"/>
      <w:r>
        <w:rPr>
          <w:rFonts w:ascii="Verdana" w:hAnsi="Verdana"/>
          <w:b/>
          <w:bCs/>
          <w:sz w:val="20"/>
        </w:rPr>
        <w:t>Tab</w:t>
      </w:r>
      <w:proofErr w:type="spellEnd"/>
      <w:r>
        <w:rPr>
          <w:rFonts w:ascii="Verdana" w:hAnsi="Verdana"/>
          <w:b/>
          <w:bCs/>
          <w:sz w:val="20"/>
        </w:rPr>
        <w:t xml:space="preserve">. 3 - </w:t>
      </w:r>
      <w:r w:rsidRPr="00E37D41">
        <w:rPr>
          <w:rFonts w:ascii="Verdana" w:hAnsi="Verdana"/>
          <w:b/>
          <w:bCs/>
          <w:sz w:val="20"/>
        </w:rPr>
        <w:t>ICC IN QUANTITA’ - VARIAZIONI CONGIUNTURALI (DATI DESTAGIONALIZZATI)</w:t>
      </w:r>
    </w:p>
    <w:tbl>
      <w:tblPr>
        <w:tblW w:w="1048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737"/>
        <w:gridCol w:w="679"/>
        <w:gridCol w:w="544"/>
        <w:gridCol w:w="548"/>
        <w:gridCol w:w="554"/>
        <w:gridCol w:w="542"/>
        <w:gridCol w:w="556"/>
        <w:gridCol w:w="547"/>
        <w:gridCol w:w="555"/>
        <w:gridCol w:w="549"/>
        <w:gridCol w:w="540"/>
        <w:gridCol w:w="543"/>
      </w:tblGrid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B27753">
              <w:rPr>
                <w:rFonts w:ascii="Verdana" w:hAnsi="Verdana"/>
                <w:sz w:val="16"/>
                <w:szCs w:val="16"/>
                <w:lang w:val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LUG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OTT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GEN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MAG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GIU</w:t>
            </w:r>
          </w:p>
        </w:tc>
      </w:tr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272A8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-0,2</w:t>
            </w:r>
          </w:p>
        </w:tc>
      </w:tr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BENI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0,3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vAlign w:val="center"/>
          </w:tcPr>
          <w:p w:rsidR="00066270" w:rsidRPr="00B27753" w:rsidRDefault="00272A8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-0,5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b/>
                <w:bCs/>
                <w:sz w:val="16"/>
                <w:szCs w:val="16"/>
              </w:rPr>
              <w:t>0,3</w:t>
            </w:r>
          </w:p>
        </w:tc>
      </w:tr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Pr="00B27753">
              <w:rPr>
                <w:rFonts w:ascii="Verdana" w:hAnsi="Verdana"/>
                <w:sz w:val="16"/>
                <w:szCs w:val="16"/>
              </w:rPr>
              <w:t>di cui alimentari e bevande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0,8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66270" w:rsidRPr="00B27753" w:rsidRDefault="00272A8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0,2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272A8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77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b/>
                <w:bCs/>
                <w:sz w:val="16"/>
                <w:szCs w:val="16"/>
              </w:rPr>
              <w:t>0,1</w:t>
            </w:r>
          </w:p>
        </w:tc>
      </w:tr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Beni e servizi ricreativi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-2,0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-0,2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0,4</w:t>
            </w:r>
          </w:p>
        </w:tc>
      </w:tr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Alberghi, pasti e consumazioni fuori casa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0,4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1,8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-1,7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-0,4</w:t>
            </w:r>
          </w:p>
        </w:tc>
      </w:tr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Beni e servizi per la mobilità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-1,1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-1,2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-0,3</w:t>
            </w:r>
          </w:p>
        </w:tc>
      </w:tr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Beni e servizi per le comunicazioni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3,2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0,6</w:t>
            </w:r>
          </w:p>
        </w:tc>
      </w:tr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Beni e servizi per la cura della persona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0,1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-0,3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Abbigliamento e calzature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0,0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</w:tr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Beni e servizi per la casa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0,0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6270" w:rsidRPr="00B27753" w:rsidRDefault="00272A8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-0,2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734DE2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0,2</w:t>
            </w:r>
          </w:p>
        </w:tc>
      </w:tr>
      <w:tr w:rsidR="00D65B33" w:rsidRPr="00B27753" w:rsidTr="00C53C04">
        <w:trPr>
          <w:trHeight w:val="281"/>
          <w:jc w:val="center"/>
        </w:trPr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Alimentari, bevande e tabacchi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270" w:rsidRPr="00B27753" w:rsidRDefault="00272A8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E71C07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66270" w:rsidRPr="00B2775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-1,0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-0,3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-1,1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270" w:rsidRPr="00B27753" w:rsidRDefault="00066270" w:rsidP="00066270">
            <w:pPr>
              <w:tabs>
                <w:tab w:val="left" w:pos="111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B2775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</w:tbl>
    <w:p w:rsidR="00193AA4" w:rsidRDefault="00193AA4" w:rsidP="00193AA4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</w:rPr>
      </w:pPr>
      <w:r w:rsidRPr="00411181">
        <w:rPr>
          <w:rFonts w:ascii="Verdana" w:hAnsi="Verdana"/>
          <w:i/>
          <w:sz w:val="18"/>
          <w:szCs w:val="18"/>
        </w:rPr>
        <w:t>Fonte: elaborazioni Ufficio Studi Confcommercio</w:t>
      </w:r>
    </w:p>
    <w:p w:rsidR="0054766F" w:rsidRPr="0051687B" w:rsidRDefault="0054766F" w:rsidP="0051687B">
      <w:pPr>
        <w:jc w:val="both"/>
        <w:rPr>
          <w:rFonts w:ascii="Verdana" w:hAnsi="Verdana"/>
          <w:sz w:val="20"/>
        </w:rPr>
      </w:pPr>
    </w:p>
    <w:p w:rsidR="00C52F2F" w:rsidRDefault="0054766F" w:rsidP="0054766F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STIMA DELL'INFLAZIONE</w:t>
      </w:r>
    </w:p>
    <w:tbl>
      <w:tblPr>
        <w:tblW w:w="8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418"/>
        <w:gridCol w:w="1531"/>
        <w:gridCol w:w="1191"/>
        <w:gridCol w:w="1474"/>
      </w:tblGrid>
      <w:tr w:rsidR="0095136F" w:rsidRPr="0095136F" w:rsidTr="00C53C04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b/>
                <w:bCs/>
                <w:i/>
                <w:sz w:val="16"/>
                <w:szCs w:val="18"/>
              </w:rPr>
            </w:pPr>
            <w:r w:rsidRPr="0095136F">
              <w:rPr>
                <w:rFonts w:ascii="Verdana" w:eastAsia="Times New Roman" w:hAnsi="Verdana" w:cs="Arial"/>
                <w:b/>
                <w:bCs/>
                <w:i/>
                <w:sz w:val="16"/>
                <w:szCs w:val="18"/>
              </w:rPr>
              <w:t>Di cui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</w:p>
        </w:tc>
      </w:tr>
      <w:tr w:rsidR="0095136F" w:rsidRPr="0095136F" w:rsidTr="00C53C04">
        <w:trPr>
          <w:trHeight w:val="794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rPr>
                <w:rFonts w:ascii="Verdana" w:eastAsia="Times New Roman" w:hAnsi="Verdana"/>
                <w:sz w:val="16"/>
                <w:szCs w:val="18"/>
              </w:rPr>
            </w:pPr>
            <w:r w:rsidRPr="0095136F">
              <w:rPr>
                <w:rFonts w:ascii="Verdana" w:eastAsia="Times New Roman" w:hAnsi="Verdana"/>
                <w:sz w:val="16"/>
                <w:szCs w:val="18"/>
              </w:rPr>
              <w:t>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  <w:r w:rsidRPr="0095136F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INDICE GENERALE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  <w:r w:rsidRPr="0095136F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Prodotti alimentari e bevande analcoliche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  <w:r w:rsidRPr="0095136F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Abitazione, acqua, elettricità e combustibili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  <w:r w:rsidRPr="0095136F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Trasporti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  <w:r w:rsidRPr="0095136F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Servizi ricettivi e di ristorazione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8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  <w:r w:rsidRPr="0095136F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VARIAZIONI CONGIUNTURALI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8"/>
              </w:rPr>
            </w:pP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Set. '13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1,1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Ott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-0,5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-1,5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-0,4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 xml:space="preserve">Gen. '14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0,0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0,0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lastRenderedPageBreak/>
              <w:t>Mar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0,5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Apr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1,3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Mag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0,7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Giu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0,1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-0,1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0,6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-0,2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Lug</w:t>
            </w:r>
            <w:proofErr w:type="spellEnd"/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 xml:space="preserve"> (*)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-0,1 (0,0)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-1,0 (-0,4)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-1,1 (-1,0)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+1,1 (1,0)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0,0 (0,2)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Ago (**)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-0,4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-0,2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8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  <w:r w:rsidRPr="0095136F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VARIAZIONI TENDENZIALI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8"/>
              </w:rPr>
            </w:pP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Set. '13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1,8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Ott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1,8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1,5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Dic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1,1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 xml:space="preserve">Gen. '14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1,1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1,1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Mar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0,8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Apr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0,9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Mag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-0,2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1,3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1,3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Giu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-0,6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0,6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1,3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sz w:val="16"/>
                <w:szCs w:val="16"/>
              </w:rPr>
              <w:t>1,0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proofErr w:type="spellStart"/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Lug</w:t>
            </w:r>
            <w:proofErr w:type="spellEnd"/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 xml:space="preserve"> (*)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0,1 (0,2)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-0,8 (-0,2)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-0,8 (-0,6)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+1,5 (1,4)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0,8 (1,0)</w:t>
            </w:r>
          </w:p>
        </w:tc>
      </w:tr>
      <w:tr w:rsidR="0095136F" w:rsidRPr="0095136F" w:rsidTr="00C53C04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Ago (**)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-0,9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-1,0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0,2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136F" w:rsidRPr="0095136F" w:rsidRDefault="0095136F" w:rsidP="0095136F">
            <w:pPr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95136F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0,8</w:t>
            </w:r>
          </w:p>
        </w:tc>
      </w:tr>
    </w:tbl>
    <w:p w:rsidR="00C53C04" w:rsidRPr="00C53C04" w:rsidRDefault="00812596" w:rsidP="00C53C04">
      <w:pPr>
        <w:pStyle w:val="xl25"/>
        <w:spacing w:before="0" w:beforeAutospacing="0" w:after="0" w:afterAutospacing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(*) </w:t>
      </w:r>
      <w:r w:rsidR="00C53C04" w:rsidRPr="00C53C04">
        <w:rPr>
          <w:rFonts w:eastAsia="Times New Roman" w:cs="Times New Roman"/>
          <w:sz w:val="16"/>
          <w:szCs w:val="16"/>
        </w:rPr>
        <w:t>Il dato ISTAT di luglio è provvisorio. Tra parentesi le previsioni del mese precedente.</w:t>
      </w:r>
    </w:p>
    <w:p w:rsidR="00C55BA5" w:rsidRDefault="00C53C04" w:rsidP="00B76515">
      <w:pPr>
        <w:rPr>
          <w:rFonts w:ascii="Verdana" w:hAnsi="Verdana"/>
          <w:sz w:val="20"/>
        </w:rPr>
      </w:pPr>
      <w:r w:rsidRPr="00C53C04">
        <w:rPr>
          <w:rFonts w:eastAsia="Times New Roman"/>
          <w:sz w:val="16"/>
          <w:szCs w:val="16"/>
        </w:rPr>
        <w:t>(**) Previsioni.</w:t>
      </w:r>
      <w:r w:rsidR="00B76515">
        <w:rPr>
          <w:rFonts w:eastAsia="Times New Roman"/>
          <w:sz w:val="16"/>
          <w:szCs w:val="16"/>
        </w:rPr>
        <w:t xml:space="preserve"> </w:t>
      </w:r>
      <w:r w:rsidRPr="00812596">
        <w:rPr>
          <w:rFonts w:eastAsia="Times New Roman"/>
          <w:i/>
          <w:sz w:val="16"/>
          <w:szCs w:val="16"/>
        </w:rPr>
        <w:t>Fonte: Istat e previsioni Ufficio Studi Confcommercio</w:t>
      </w:r>
      <w:r w:rsidR="00B76515">
        <w:rPr>
          <w:rFonts w:eastAsia="Times New Roman"/>
          <w:sz w:val="16"/>
          <w:szCs w:val="16"/>
        </w:rPr>
        <w:t xml:space="preserve">     </w:t>
      </w:r>
      <w:r w:rsidR="00B76515" w:rsidRPr="004D4F11">
        <w:rPr>
          <w:rFonts w:ascii="Verdana" w:hAnsi="Verdana"/>
          <w:sz w:val="20"/>
          <w:highlight w:val="yellow"/>
        </w:rPr>
        <w:t>PROSSIMA USCITA: 4 settembre 2014</w:t>
      </w:r>
    </w:p>
    <w:sectPr w:rsidR="00C55BA5" w:rsidSect="003132BF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96" w:rsidRDefault="00812596">
      <w:r>
        <w:separator/>
      </w:r>
    </w:p>
  </w:endnote>
  <w:endnote w:type="continuationSeparator" w:id="0">
    <w:p w:rsidR="00812596" w:rsidRDefault="0081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96" w:rsidRDefault="008125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2596" w:rsidRDefault="008125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96" w:rsidRDefault="00812596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C62E7F">
      <w:rPr>
        <w:rStyle w:val="Numeropagina"/>
        <w:noProof/>
        <w:sz w:val="18"/>
      </w:rPr>
      <w:t>3</w:t>
    </w:r>
    <w:r>
      <w:rPr>
        <w:rStyle w:val="Numeropagina"/>
        <w:sz w:val="18"/>
      </w:rPr>
      <w:fldChar w:fldCharType="end"/>
    </w:r>
  </w:p>
  <w:p w:rsidR="00812596" w:rsidRPr="00421D14" w:rsidRDefault="00812596">
    <w:pPr>
      <w:pStyle w:val="Pidipagina"/>
      <w:ind w:right="360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96" w:rsidRDefault="00812596">
      <w:r>
        <w:separator/>
      </w:r>
    </w:p>
  </w:footnote>
  <w:footnote w:type="continuationSeparator" w:id="0">
    <w:p w:rsidR="00812596" w:rsidRDefault="0081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textFile"/>
    <w:connectString w:val=""/>
    <w:query w:val="SELECT * FROM C:\Documents and Settings\vagnini\Desktop\frase.doc"/>
    <w:activeRecord w:val="-1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58"/>
    <w:rsid w:val="00021B19"/>
    <w:rsid w:val="00027A06"/>
    <w:rsid w:val="00027D82"/>
    <w:rsid w:val="0003230A"/>
    <w:rsid w:val="00034DFB"/>
    <w:rsid w:val="000375BB"/>
    <w:rsid w:val="000423BA"/>
    <w:rsid w:val="000474A3"/>
    <w:rsid w:val="00052FE9"/>
    <w:rsid w:val="00053D6F"/>
    <w:rsid w:val="000613AC"/>
    <w:rsid w:val="00066270"/>
    <w:rsid w:val="00071189"/>
    <w:rsid w:val="00071F8A"/>
    <w:rsid w:val="000779B6"/>
    <w:rsid w:val="0008151E"/>
    <w:rsid w:val="0009020D"/>
    <w:rsid w:val="0009565E"/>
    <w:rsid w:val="000A561C"/>
    <w:rsid w:val="000A5AA1"/>
    <w:rsid w:val="000B32DF"/>
    <w:rsid w:val="000C40F0"/>
    <w:rsid w:val="00100C9E"/>
    <w:rsid w:val="00103833"/>
    <w:rsid w:val="0010460A"/>
    <w:rsid w:val="00107095"/>
    <w:rsid w:val="001077AC"/>
    <w:rsid w:val="00107CB3"/>
    <w:rsid w:val="001154D4"/>
    <w:rsid w:val="00122B70"/>
    <w:rsid w:val="001445F3"/>
    <w:rsid w:val="0014686A"/>
    <w:rsid w:val="00155176"/>
    <w:rsid w:val="00160661"/>
    <w:rsid w:val="001836B8"/>
    <w:rsid w:val="00184971"/>
    <w:rsid w:val="00185147"/>
    <w:rsid w:val="0019135F"/>
    <w:rsid w:val="00193AA4"/>
    <w:rsid w:val="0019689A"/>
    <w:rsid w:val="001B187A"/>
    <w:rsid w:val="001B2B4E"/>
    <w:rsid w:val="001C10D4"/>
    <w:rsid w:val="001C257D"/>
    <w:rsid w:val="001C3896"/>
    <w:rsid w:val="001D44CD"/>
    <w:rsid w:val="001D7312"/>
    <w:rsid w:val="001E7213"/>
    <w:rsid w:val="001F1F60"/>
    <w:rsid w:val="001F250F"/>
    <w:rsid w:val="001F5736"/>
    <w:rsid w:val="00207FB3"/>
    <w:rsid w:val="002133E1"/>
    <w:rsid w:val="00215FC7"/>
    <w:rsid w:val="00230563"/>
    <w:rsid w:val="00234503"/>
    <w:rsid w:val="00244867"/>
    <w:rsid w:val="00255B9A"/>
    <w:rsid w:val="00264AB9"/>
    <w:rsid w:val="00265B95"/>
    <w:rsid w:val="00270C99"/>
    <w:rsid w:val="00272A80"/>
    <w:rsid w:val="00284D54"/>
    <w:rsid w:val="002910A9"/>
    <w:rsid w:val="002A1DC0"/>
    <w:rsid w:val="002A38CB"/>
    <w:rsid w:val="002A7E49"/>
    <w:rsid w:val="002B638E"/>
    <w:rsid w:val="002C63D2"/>
    <w:rsid w:val="002D014A"/>
    <w:rsid w:val="002E4040"/>
    <w:rsid w:val="002E7967"/>
    <w:rsid w:val="002F5858"/>
    <w:rsid w:val="00305509"/>
    <w:rsid w:val="003132BF"/>
    <w:rsid w:val="00314B8B"/>
    <w:rsid w:val="00315EE4"/>
    <w:rsid w:val="00322F5E"/>
    <w:rsid w:val="0033500C"/>
    <w:rsid w:val="00355A9D"/>
    <w:rsid w:val="00357018"/>
    <w:rsid w:val="00363CB5"/>
    <w:rsid w:val="00372EE8"/>
    <w:rsid w:val="003850FD"/>
    <w:rsid w:val="00385EBF"/>
    <w:rsid w:val="00393AED"/>
    <w:rsid w:val="00394728"/>
    <w:rsid w:val="00394B9C"/>
    <w:rsid w:val="003B20A7"/>
    <w:rsid w:val="003C26C0"/>
    <w:rsid w:val="003C2F61"/>
    <w:rsid w:val="003C3259"/>
    <w:rsid w:val="003C53B4"/>
    <w:rsid w:val="003D35B8"/>
    <w:rsid w:val="003E23E8"/>
    <w:rsid w:val="003E6B73"/>
    <w:rsid w:val="003F1CF3"/>
    <w:rsid w:val="00411181"/>
    <w:rsid w:val="00412CE3"/>
    <w:rsid w:val="00416E0F"/>
    <w:rsid w:val="0041732B"/>
    <w:rsid w:val="00421D14"/>
    <w:rsid w:val="0042224F"/>
    <w:rsid w:val="00424437"/>
    <w:rsid w:val="004277C3"/>
    <w:rsid w:val="00430E01"/>
    <w:rsid w:val="00435DB9"/>
    <w:rsid w:val="004418EB"/>
    <w:rsid w:val="0044362E"/>
    <w:rsid w:val="00444A20"/>
    <w:rsid w:val="00457D77"/>
    <w:rsid w:val="00460FE4"/>
    <w:rsid w:val="004622BA"/>
    <w:rsid w:val="0046338C"/>
    <w:rsid w:val="0049247F"/>
    <w:rsid w:val="00494724"/>
    <w:rsid w:val="004970E3"/>
    <w:rsid w:val="004A7EBA"/>
    <w:rsid w:val="004B5310"/>
    <w:rsid w:val="004D2E8A"/>
    <w:rsid w:val="004D4B84"/>
    <w:rsid w:val="004D5A1E"/>
    <w:rsid w:val="004E49CD"/>
    <w:rsid w:val="004F43DE"/>
    <w:rsid w:val="00502E79"/>
    <w:rsid w:val="0051066C"/>
    <w:rsid w:val="0051687B"/>
    <w:rsid w:val="0052401B"/>
    <w:rsid w:val="00526C01"/>
    <w:rsid w:val="005335F9"/>
    <w:rsid w:val="00535165"/>
    <w:rsid w:val="005375E5"/>
    <w:rsid w:val="005405A4"/>
    <w:rsid w:val="0054766F"/>
    <w:rsid w:val="005539E5"/>
    <w:rsid w:val="00560AD1"/>
    <w:rsid w:val="005643D3"/>
    <w:rsid w:val="00575382"/>
    <w:rsid w:val="0057577B"/>
    <w:rsid w:val="00596C48"/>
    <w:rsid w:val="005A54D8"/>
    <w:rsid w:val="005B378F"/>
    <w:rsid w:val="005B6799"/>
    <w:rsid w:val="005C120C"/>
    <w:rsid w:val="005D4495"/>
    <w:rsid w:val="005D75F1"/>
    <w:rsid w:val="005E4CDB"/>
    <w:rsid w:val="005F02C9"/>
    <w:rsid w:val="005F4654"/>
    <w:rsid w:val="005F5A73"/>
    <w:rsid w:val="00601026"/>
    <w:rsid w:val="00603B75"/>
    <w:rsid w:val="006050E6"/>
    <w:rsid w:val="00606A0F"/>
    <w:rsid w:val="00611BEE"/>
    <w:rsid w:val="006213EA"/>
    <w:rsid w:val="006404CE"/>
    <w:rsid w:val="00645838"/>
    <w:rsid w:val="00682BFB"/>
    <w:rsid w:val="0068580D"/>
    <w:rsid w:val="00685FEA"/>
    <w:rsid w:val="00690DFD"/>
    <w:rsid w:val="006A294E"/>
    <w:rsid w:val="006A5875"/>
    <w:rsid w:val="006C1A5A"/>
    <w:rsid w:val="006D0554"/>
    <w:rsid w:val="006D53F8"/>
    <w:rsid w:val="006E557C"/>
    <w:rsid w:val="006F62EA"/>
    <w:rsid w:val="006F7643"/>
    <w:rsid w:val="00700854"/>
    <w:rsid w:val="007120EA"/>
    <w:rsid w:val="007252DD"/>
    <w:rsid w:val="00725916"/>
    <w:rsid w:val="007320AC"/>
    <w:rsid w:val="00734DE2"/>
    <w:rsid w:val="00737E00"/>
    <w:rsid w:val="00742DD6"/>
    <w:rsid w:val="00757E3B"/>
    <w:rsid w:val="007753AF"/>
    <w:rsid w:val="00780D99"/>
    <w:rsid w:val="0078605A"/>
    <w:rsid w:val="0079088E"/>
    <w:rsid w:val="007A4912"/>
    <w:rsid w:val="007B37B5"/>
    <w:rsid w:val="007B6ADA"/>
    <w:rsid w:val="007C6AFF"/>
    <w:rsid w:val="007D4469"/>
    <w:rsid w:val="007E20CA"/>
    <w:rsid w:val="007E7968"/>
    <w:rsid w:val="007F2024"/>
    <w:rsid w:val="00800D0A"/>
    <w:rsid w:val="008022C0"/>
    <w:rsid w:val="00812596"/>
    <w:rsid w:val="008321C2"/>
    <w:rsid w:val="00836597"/>
    <w:rsid w:val="00845212"/>
    <w:rsid w:val="00846AF1"/>
    <w:rsid w:val="008611A6"/>
    <w:rsid w:val="00873EE1"/>
    <w:rsid w:val="0089178A"/>
    <w:rsid w:val="008978CC"/>
    <w:rsid w:val="008A45FD"/>
    <w:rsid w:val="008A642F"/>
    <w:rsid w:val="008B2B94"/>
    <w:rsid w:val="008D18CD"/>
    <w:rsid w:val="00921713"/>
    <w:rsid w:val="009248DB"/>
    <w:rsid w:val="00925C54"/>
    <w:rsid w:val="0093735A"/>
    <w:rsid w:val="009376E6"/>
    <w:rsid w:val="00940D75"/>
    <w:rsid w:val="0095136F"/>
    <w:rsid w:val="00967F61"/>
    <w:rsid w:val="00975F75"/>
    <w:rsid w:val="00976624"/>
    <w:rsid w:val="009777C8"/>
    <w:rsid w:val="00980DAB"/>
    <w:rsid w:val="00981405"/>
    <w:rsid w:val="00987A5E"/>
    <w:rsid w:val="00995D4E"/>
    <w:rsid w:val="009A051C"/>
    <w:rsid w:val="009A0FFC"/>
    <w:rsid w:val="009C584B"/>
    <w:rsid w:val="009C5B01"/>
    <w:rsid w:val="009D24CF"/>
    <w:rsid w:val="00A02491"/>
    <w:rsid w:val="00A2129C"/>
    <w:rsid w:val="00A33738"/>
    <w:rsid w:val="00A37760"/>
    <w:rsid w:val="00A414A4"/>
    <w:rsid w:val="00A45811"/>
    <w:rsid w:val="00A61F34"/>
    <w:rsid w:val="00AB598B"/>
    <w:rsid w:val="00AB60C9"/>
    <w:rsid w:val="00AB7E31"/>
    <w:rsid w:val="00AC0D34"/>
    <w:rsid w:val="00AD1860"/>
    <w:rsid w:val="00AE35E3"/>
    <w:rsid w:val="00AE6062"/>
    <w:rsid w:val="00B07F28"/>
    <w:rsid w:val="00B1563D"/>
    <w:rsid w:val="00B27753"/>
    <w:rsid w:val="00B332B8"/>
    <w:rsid w:val="00B34ADD"/>
    <w:rsid w:val="00B415FE"/>
    <w:rsid w:val="00B424E6"/>
    <w:rsid w:val="00B5079C"/>
    <w:rsid w:val="00B657C5"/>
    <w:rsid w:val="00B76515"/>
    <w:rsid w:val="00B7665A"/>
    <w:rsid w:val="00B779E3"/>
    <w:rsid w:val="00B81AC4"/>
    <w:rsid w:val="00B86083"/>
    <w:rsid w:val="00BA6FBF"/>
    <w:rsid w:val="00BB5453"/>
    <w:rsid w:val="00BB550D"/>
    <w:rsid w:val="00BC3780"/>
    <w:rsid w:val="00BC57C6"/>
    <w:rsid w:val="00BD13D2"/>
    <w:rsid w:val="00BD7781"/>
    <w:rsid w:val="00BF001C"/>
    <w:rsid w:val="00BF0488"/>
    <w:rsid w:val="00BF3C2C"/>
    <w:rsid w:val="00BF5B15"/>
    <w:rsid w:val="00C05F9F"/>
    <w:rsid w:val="00C1141C"/>
    <w:rsid w:val="00C270F9"/>
    <w:rsid w:val="00C27DA3"/>
    <w:rsid w:val="00C427C2"/>
    <w:rsid w:val="00C433A8"/>
    <w:rsid w:val="00C475A0"/>
    <w:rsid w:val="00C52F2F"/>
    <w:rsid w:val="00C538E7"/>
    <w:rsid w:val="00C53C04"/>
    <w:rsid w:val="00C55BA5"/>
    <w:rsid w:val="00C61EE8"/>
    <w:rsid w:val="00C62E7F"/>
    <w:rsid w:val="00C6684C"/>
    <w:rsid w:val="00C717E1"/>
    <w:rsid w:val="00C85DE2"/>
    <w:rsid w:val="00C97692"/>
    <w:rsid w:val="00CB17DF"/>
    <w:rsid w:val="00CB77C0"/>
    <w:rsid w:val="00CC1E62"/>
    <w:rsid w:val="00CD2B90"/>
    <w:rsid w:val="00CD5301"/>
    <w:rsid w:val="00CF0339"/>
    <w:rsid w:val="00CF3B31"/>
    <w:rsid w:val="00D10AFC"/>
    <w:rsid w:val="00D15EE1"/>
    <w:rsid w:val="00D2291E"/>
    <w:rsid w:val="00D24DF7"/>
    <w:rsid w:val="00D264F0"/>
    <w:rsid w:val="00D34CFF"/>
    <w:rsid w:val="00D56621"/>
    <w:rsid w:val="00D65B33"/>
    <w:rsid w:val="00D70BB1"/>
    <w:rsid w:val="00D712E6"/>
    <w:rsid w:val="00D76096"/>
    <w:rsid w:val="00D8720F"/>
    <w:rsid w:val="00D9151F"/>
    <w:rsid w:val="00DB0765"/>
    <w:rsid w:val="00DB6E79"/>
    <w:rsid w:val="00DC29F7"/>
    <w:rsid w:val="00DC2DDC"/>
    <w:rsid w:val="00DC4779"/>
    <w:rsid w:val="00DD47BE"/>
    <w:rsid w:val="00DE3DE1"/>
    <w:rsid w:val="00DF7C59"/>
    <w:rsid w:val="00E10C28"/>
    <w:rsid w:val="00E11657"/>
    <w:rsid w:val="00E12AC0"/>
    <w:rsid w:val="00E261D7"/>
    <w:rsid w:val="00E26584"/>
    <w:rsid w:val="00E30D12"/>
    <w:rsid w:val="00E371E9"/>
    <w:rsid w:val="00E37F2C"/>
    <w:rsid w:val="00E42317"/>
    <w:rsid w:val="00E50358"/>
    <w:rsid w:val="00E66EC0"/>
    <w:rsid w:val="00E66F45"/>
    <w:rsid w:val="00E71C07"/>
    <w:rsid w:val="00E7255B"/>
    <w:rsid w:val="00E76A99"/>
    <w:rsid w:val="00E85F94"/>
    <w:rsid w:val="00EA1226"/>
    <w:rsid w:val="00EB33C0"/>
    <w:rsid w:val="00EB5A1C"/>
    <w:rsid w:val="00EC15D0"/>
    <w:rsid w:val="00EC3A6E"/>
    <w:rsid w:val="00EC6316"/>
    <w:rsid w:val="00ED4CFC"/>
    <w:rsid w:val="00F05050"/>
    <w:rsid w:val="00F11A2C"/>
    <w:rsid w:val="00F20A55"/>
    <w:rsid w:val="00F21E3E"/>
    <w:rsid w:val="00F23A9E"/>
    <w:rsid w:val="00F3572B"/>
    <w:rsid w:val="00F35806"/>
    <w:rsid w:val="00F41C1F"/>
    <w:rsid w:val="00F446A9"/>
    <w:rsid w:val="00F52D53"/>
    <w:rsid w:val="00F53207"/>
    <w:rsid w:val="00F56E55"/>
    <w:rsid w:val="00F62835"/>
    <w:rsid w:val="00F63BE3"/>
    <w:rsid w:val="00F72B40"/>
    <w:rsid w:val="00F83137"/>
    <w:rsid w:val="00F8461A"/>
    <w:rsid w:val="00F91040"/>
    <w:rsid w:val="00F978CB"/>
    <w:rsid w:val="00FA245D"/>
    <w:rsid w:val="00FB4E4B"/>
    <w:rsid w:val="00FC3400"/>
    <w:rsid w:val="00FC49C7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semiHidden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567" w:right="565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semiHidden/>
    <w:rsid w:val="00F20A55"/>
    <w:rPr>
      <w:rFonts w:ascii="Geneva" w:hAnsi="Geneva"/>
      <w:sz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8720F"/>
    <w:rPr>
      <w:rFonts w:ascii="Times New Roman" w:eastAsia="Times New Roman" w:hAnsi="Times New Roma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37F2C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37F2C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semiHidden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567" w:right="565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semiHidden/>
    <w:rsid w:val="00F20A55"/>
    <w:rPr>
      <w:rFonts w:ascii="Geneva" w:hAnsi="Geneva"/>
      <w:sz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8720F"/>
    <w:rPr>
      <w:rFonts w:ascii="Times New Roman" w:eastAsia="Times New Roman" w:hAnsi="Times New Roma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37F2C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37F2C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FC438B-1A79-4BBF-A051-EDAB5218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3349</Characters>
  <Application>Microsoft Office Word</Application>
  <DocSecurity>0</DocSecurity>
  <Lines>27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COMUNICAZIONE E IMMAGINE</vt:lpstr>
    </vt:vector>
  </TitlesOfParts>
  <Company>CONFCOMMERCIO</Company>
  <LinksUpToDate>false</LinksUpToDate>
  <CharactersWithSpaces>4071</CharactersWithSpaces>
  <SharedDoc>false</SharedDoc>
  <HLinks>
    <vt:vector size="18" baseType="variant"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http://www.confcommercio.it/home/Centro-stu/index.htm</vt:lpwstr>
      </vt:variant>
      <vt:variant>
        <vt:lpwstr/>
      </vt:variant>
      <vt:variant>
        <vt:i4>5505041</vt:i4>
      </vt:variant>
      <vt:variant>
        <vt:i4>3</vt:i4>
      </vt:variant>
      <vt:variant>
        <vt:i4>0</vt:i4>
      </vt:variant>
      <vt:variant>
        <vt:i4>5</vt:i4>
      </vt:variant>
      <vt:variant>
        <vt:lpwstr>http://twitter.com/Confcommercio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http://www.facebook.it/confcommercio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COMUNICAZIONE E IMMAGINE</dc:title>
  <dc:creator>AREA COM. IMMAGINE</dc:creator>
  <cp:lastModifiedBy>moretti</cp:lastModifiedBy>
  <cp:revision>5</cp:revision>
  <cp:lastPrinted>2014-08-04T10:50:00Z</cp:lastPrinted>
  <dcterms:created xsi:type="dcterms:W3CDTF">2014-08-04T11:15:00Z</dcterms:created>
  <dcterms:modified xsi:type="dcterms:W3CDTF">2014-08-04T15:46:00Z</dcterms:modified>
</cp:coreProperties>
</file>