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03" w:rsidRPr="00A35904" w:rsidRDefault="00C62814" w:rsidP="000D7CE8">
      <w:pPr>
        <w:spacing w:after="0"/>
        <w:rPr>
          <w:rFonts w:ascii="Arial" w:hAnsi="Arial" w:cs="Arial"/>
          <w:b/>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638C2234" wp14:editId="12092326">
                <wp:simplePos x="0" y="0"/>
                <wp:positionH relativeFrom="column">
                  <wp:posOffset>2807970</wp:posOffset>
                </wp:positionH>
                <wp:positionV relativeFrom="paragraph">
                  <wp:posOffset>1158875</wp:posOffset>
                </wp:positionV>
                <wp:extent cx="3566160" cy="47879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787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62814" w:rsidRDefault="00C62814" w:rsidP="00C62814">
                            <w:pPr>
                              <w:spacing w:after="0" w:line="240" w:lineRule="auto"/>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221.1pt;margin-top:91.25pt;width:280.8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zWhgIAABQFAAAOAAAAZHJzL2Uyb0RvYy54bWysVG1v0zAQ/o7Ef7D8vUtSsrSJmk5bRxHS&#10;eJEGP8CNncbC8QXbbTIm/jtnp+3KAAkh8sGxfefHd/c858XV0CqyF8ZK0CVNLmJKhK6AS70t6edP&#10;68mcEuuY5kyBFiV9EJZeLV++WPRdIabQgOLCEATRtui7kjbOdUUU2aoRLbMX0AmNxhpMyxwuzTbi&#10;hvWI3qpoGsdZ1IPhnYFKWIu7t6ORLgN+XYvKfahrKxxRJcXYXBhNGDd+jJYLVmwN6xpZHcJg/xBF&#10;y6TGS09Qt8wxsjPyF6hWVgYs1O6igjaCupaVCDlgNkn8LJv7hnUi5ILFsd2pTPb/wVbv9x8Nkbyk&#10;GSWatUjRilmhFCNcEiesA5L5KvWdLdD5vkN3N9zAgGyHjG13B9UXSzSsGqa34toY6BvBOEaZ+JPR&#10;2dERx3qQTf8OOF7Hdg4C0FCb1pcQi0IQHdl6ODEkBkcq3Hx1mWVJhqYKbelsPssDhRErjqc7Y90b&#10;AS3xk5IaVEBAZ/s763w0rDi6+MssKMnXUqmwMNvNShmyZ6iWdfhCAs/clPbOGvyxEXHcwSDxDm/z&#10;4Qb2H/NkmsY303yyzuazSbpOLyf5LJ5P4iS/ybM4zdPb9XcfYJIWjeRc6DupxVGJSfp3TB96YtRQ&#10;0CLpfe1CUn/MMA7f7zJspcOuVLIt6fzkxArP6mvNMWdWOCbVOI9+jj2UGAtw/IeSBA142kcBuGEz&#10;IIoXxgb4A6rBAJKFvOJTgpMGzDdKemzLktqvO2YEJeqtRkXlSZr6Pg6L9HI2xYU5t2zOLUxXCFVS&#10;R8k4Xbmx93edkdsGbxo1rOEaVVjLIJCnqA7axdYLyRyeCd/b5+vg9fSYLX8AAAD//wMAUEsDBBQA&#10;BgAIAAAAIQBRqZYu4AAAAAwBAAAPAAAAZHJzL2Rvd25yZXYueG1sTI/LTsMwEEX3SPyDNUjsqI1J&#10;SxriVKgKS5DaIpWlG0+TiNhO/WjD3+OuYDm6R3fOLVeTHsgZne+tEfA4Y0DQNFb1phXwuXt7yIH4&#10;II2SgzUo4Ac9rKrbm1IWyl7MBs/b0JJUYnwhBXQhjAWlvulQSz+zI5qUHa3TMqTTtVQ5eUnleqCc&#10;sQXVsjfpQydHXHfYfG+jFrDb118NLmods3od89Mpvrv9hxD3d9PrC5CAU/iD4aqf1KFKTgcbjfJk&#10;EJBlnCc0BTmfA7kSjD2lNQcBfP68BFqV9P+I6hcAAP//AwBQSwECLQAUAAYACAAAACEAtoM4kv4A&#10;AADhAQAAEwAAAAAAAAAAAAAAAAAAAAAAW0NvbnRlbnRfVHlwZXNdLnhtbFBLAQItABQABgAIAAAA&#10;IQA4/SH/1gAAAJQBAAALAAAAAAAAAAAAAAAAAC8BAABfcmVscy8ucmVsc1BLAQItABQABgAIAAAA&#10;IQBF0dzWhgIAABQFAAAOAAAAAAAAAAAAAAAAAC4CAABkcnMvZTJvRG9jLnhtbFBLAQItABQABgAI&#10;AAAAIQBRqZYu4AAAAAwBAAAPAAAAAAAAAAAAAAAAAOAEAABkcnMvZG93bnJldi54bWxQSwUGAAAA&#10;AAQABADzAAAA7QUAAAAA&#10;" stroked="f" strokeweight="0">
                <v:textbox>
                  <w:txbxContent>
                    <w:p w:rsidR="00C62814" w:rsidRDefault="00C62814" w:rsidP="00C62814">
                      <w:pPr>
                        <w:spacing w:after="0" w:line="240" w:lineRule="auto"/>
                        <w:jc w:val="right"/>
                      </w:pPr>
                    </w:p>
                  </w:txbxContent>
                </v:textbox>
              </v:shape>
            </w:pict>
          </mc:Fallback>
        </mc:AlternateContent>
      </w:r>
      <w:r>
        <w:rPr>
          <w:noProof/>
          <w:lang w:eastAsia="it-IT"/>
        </w:rPr>
        <w:drawing>
          <wp:inline distT="0" distB="0" distL="0" distR="0" wp14:anchorId="413C39C1" wp14:editId="3E808571">
            <wp:extent cx="1839595" cy="1839595"/>
            <wp:effectExtent l="0" t="0" r="8255" b="8255"/>
            <wp:docPr id="3" name="Immagine 3" descr="logo vincitore -70esimo"/>
            <wp:cNvGraphicFramePr/>
            <a:graphic xmlns:a="http://schemas.openxmlformats.org/drawingml/2006/main">
              <a:graphicData uri="http://schemas.openxmlformats.org/drawingml/2006/picture">
                <pic:pic xmlns:pic="http://schemas.openxmlformats.org/drawingml/2006/picture">
                  <pic:nvPicPr>
                    <pic:cNvPr id="2" name="Immagine 2" descr="logo vincitore -70esim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9595" cy="1839595"/>
                    </a:xfrm>
                    <a:prstGeom prst="rect">
                      <a:avLst/>
                    </a:prstGeom>
                    <a:noFill/>
                    <a:ln>
                      <a:noFill/>
                    </a:ln>
                  </pic:spPr>
                </pic:pic>
              </a:graphicData>
            </a:graphic>
          </wp:inline>
        </w:drawing>
      </w:r>
    </w:p>
    <w:p w:rsidR="00B032AE" w:rsidRPr="00204648" w:rsidRDefault="00B032AE" w:rsidP="00B032AE">
      <w:pPr>
        <w:pStyle w:val="Paragrafoelenco"/>
        <w:spacing w:after="120"/>
        <w:jc w:val="both"/>
        <w:rPr>
          <w:rFonts w:ascii="Arial" w:hAnsi="Arial" w:cs="Arial"/>
          <w:b/>
          <w:sz w:val="24"/>
          <w:szCs w:val="24"/>
        </w:rPr>
      </w:pPr>
    </w:p>
    <w:p w:rsidR="00AE79DD" w:rsidRDefault="00AE79DD" w:rsidP="003236BD">
      <w:pPr>
        <w:autoSpaceDE w:val="0"/>
        <w:autoSpaceDN w:val="0"/>
        <w:adjustRightInd w:val="0"/>
        <w:spacing w:after="0" w:line="240" w:lineRule="auto"/>
        <w:ind w:firstLine="709"/>
        <w:jc w:val="both"/>
        <w:rPr>
          <w:rFonts w:ascii="Arial" w:hAnsi="Arial" w:cs="Arial"/>
          <w:sz w:val="24"/>
          <w:szCs w:val="24"/>
        </w:rPr>
      </w:pPr>
      <w:bookmarkStart w:id="0" w:name="_GoBack"/>
      <w:bookmarkEnd w:id="0"/>
    </w:p>
    <w:p w:rsidR="00B16438" w:rsidRPr="00B16438" w:rsidRDefault="00B16438" w:rsidP="00B16438">
      <w:pPr>
        <w:spacing w:after="0" w:line="240" w:lineRule="auto"/>
        <w:jc w:val="center"/>
        <w:rPr>
          <w:rFonts w:ascii="Arial" w:eastAsia="Times New Roman" w:hAnsi="Arial" w:cs="Arial"/>
          <w:b/>
          <w:bCs/>
          <w:color w:val="000000"/>
          <w:sz w:val="20"/>
          <w:szCs w:val="20"/>
          <w:lang w:eastAsia="it-IT"/>
        </w:rPr>
      </w:pPr>
      <w:r w:rsidRPr="002142C9">
        <w:rPr>
          <w:rFonts w:ascii="Arial" w:eastAsia="Times New Roman" w:hAnsi="Arial" w:cs="Arial"/>
          <w:b/>
          <w:bCs/>
          <w:color w:val="000000"/>
          <w:sz w:val="20"/>
          <w:szCs w:val="20"/>
          <w:lang w:eastAsia="it-IT"/>
        </w:rPr>
        <w:t>Tabella 1: Prezzi, disoccupazione e Misery Index Confcommercio (MIC) in Italia</w:t>
      </w:r>
    </w:p>
    <w:tbl>
      <w:tblPr>
        <w:tblW w:w="8560" w:type="dxa"/>
        <w:jc w:val="center"/>
        <w:tblCellMar>
          <w:left w:w="70" w:type="dxa"/>
          <w:right w:w="70" w:type="dxa"/>
        </w:tblCellMar>
        <w:tblLook w:val="04A0" w:firstRow="1" w:lastRow="0" w:firstColumn="1" w:lastColumn="0" w:noHBand="0" w:noVBand="1"/>
      </w:tblPr>
      <w:tblGrid>
        <w:gridCol w:w="1840"/>
        <w:gridCol w:w="1680"/>
        <w:gridCol w:w="1680"/>
        <w:gridCol w:w="1680"/>
        <w:gridCol w:w="1680"/>
      </w:tblGrid>
      <w:tr w:rsidR="00B16438" w:rsidRPr="00A634A4" w:rsidTr="00FC6A1B">
        <w:trPr>
          <w:trHeight w:val="227"/>
          <w:jc w:val="center"/>
        </w:trPr>
        <w:tc>
          <w:tcPr>
            <w:tcW w:w="184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anno</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disoccupazione ufficiale (%)</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disoccupazione estesa (%) *</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Δ% prezzi-alta frequenza di acquisto</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MIC*</w:t>
            </w:r>
          </w:p>
        </w:tc>
      </w:tr>
      <w:tr w:rsidR="00D9574A" w:rsidRPr="00A634A4"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2007</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6,1</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7,9</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2,9</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12,1</w:t>
            </w:r>
          </w:p>
        </w:tc>
      </w:tr>
      <w:tr w:rsidR="00D9574A" w:rsidRPr="00A634A4"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2008</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6,8</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8,7</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4,9</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14,6</w:t>
            </w:r>
          </w:p>
        </w:tc>
      </w:tr>
      <w:tr w:rsidR="00D9574A" w:rsidRPr="00A634A4"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2009</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7,8</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10,7</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0,8</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14,1</w:t>
            </w:r>
          </w:p>
        </w:tc>
      </w:tr>
      <w:tr w:rsidR="00D9574A" w:rsidRPr="00A634A4"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2010</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16,1</w:t>
            </w:r>
          </w:p>
        </w:tc>
      </w:tr>
      <w:tr w:rsidR="00D9574A" w:rsidRPr="00A634A4"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2011</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3,6</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17,3</w:t>
            </w:r>
          </w:p>
        </w:tc>
      </w:tr>
      <w:tr w:rsidR="00D9574A" w:rsidRPr="00A634A4" w:rsidTr="00FC6A1B">
        <w:trPr>
          <w:trHeight w:val="227"/>
          <w:jc w:val="center"/>
        </w:trPr>
        <w:tc>
          <w:tcPr>
            <w:tcW w:w="1840" w:type="dxa"/>
            <w:tcBorders>
              <w:top w:val="nil"/>
              <w:left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2012</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10,6</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14,0</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4,2</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20,8</w:t>
            </w:r>
          </w:p>
        </w:tc>
      </w:tr>
      <w:tr w:rsidR="00D9574A" w:rsidRPr="00A634A4" w:rsidTr="00FC6A1B">
        <w:trPr>
          <w:trHeight w:val="227"/>
          <w:jc w:val="center"/>
        </w:trPr>
        <w:tc>
          <w:tcPr>
            <w:tcW w:w="1840" w:type="dxa"/>
            <w:tcBorders>
              <w:top w:val="nil"/>
              <w:left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2013</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12,1</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15,8</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21,1</w:t>
            </w:r>
          </w:p>
        </w:tc>
      </w:tr>
      <w:tr w:rsidR="00D9574A" w:rsidRPr="00A634A4" w:rsidTr="00FC6A1B">
        <w:trPr>
          <w:trHeight w:val="227"/>
          <w:jc w:val="center"/>
        </w:trPr>
        <w:tc>
          <w:tcPr>
            <w:tcW w:w="1840" w:type="dxa"/>
            <w:tcBorders>
              <w:left w:val="nil"/>
              <w:bottom w:val="single" w:sz="4" w:space="0" w:color="auto"/>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w:t>
            </w:r>
          </w:p>
        </w:tc>
        <w:tc>
          <w:tcPr>
            <w:tcW w:w="1680" w:type="dxa"/>
            <w:tcBorders>
              <w:left w:val="nil"/>
              <w:bottom w:val="sing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12,6</w:t>
            </w:r>
          </w:p>
        </w:tc>
        <w:tc>
          <w:tcPr>
            <w:tcW w:w="1680" w:type="dxa"/>
            <w:tcBorders>
              <w:left w:val="nil"/>
              <w:bottom w:val="sing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16,3</w:t>
            </w:r>
          </w:p>
        </w:tc>
        <w:tc>
          <w:tcPr>
            <w:tcW w:w="1680" w:type="dxa"/>
            <w:tcBorders>
              <w:left w:val="nil"/>
              <w:bottom w:val="sing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0,3</w:t>
            </w:r>
          </w:p>
        </w:tc>
        <w:tc>
          <w:tcPr>
            <w:tcW w:w="1680" w:type="dxa"/>
            <w:tcBorders>
              <w:left w:val="nil"/>
              <w:bottom w:val="sing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20,9</w:t>
            </w:r>
          </w:p>
        </w:tc>
      </w:tr>
      <w:tr w:rsidR="00D9574A" w:rsidRPr="00A634A4" w:rsidTr="00FC6A1B">
        <w:trPr>
          <w:trHeight w:val="227"/>
          <w:jc w:val="center"/>
        </w:trPr>
        <w:tc>
          <w:tcPr>
            <w:tcW w:w="1840" w:type="dxa"/>
            <w:tcBorders>
              <w:top w:val="single" w:sz="4" w:space="0" w:color="auto"/>
              <w:left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2014-Giugno</w:t>
            </w:r>
          </w:p>
        </w:tc>
        <w:tc>
          <w:tcPr>
            <w:tcW w:w="1680" w:type="dxa"/>
            <w:tcBorders>
              <w:top w:val="single" w:sz="4" w:space="0" w:color="auto"/>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12,4</w:t>
            </w:r>
          </w:p>
        </w:tc>
        <w:tc>
          <w:tcPr>
            <w:tcW w:w="1680" w:type="dxa"/>
            <w:tcBorders>
              <w:top w:val="single" w:sz="4" w:space="0" w:color="auto"/>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16,1</w:t>
            </w:r>
          </w:p>
        </w:tc>
        <w:tc>
          <w:tcPr>
            <w:tcW w:w="1680" w:type="dxa"/>
            <w:tcBorders>
              <w:top w:val="single" w:sz="4" w:space="0" w:color="auto"/>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0,3</w:t>
            </w:r>
          </w:p>
        </w:tc>
        <w:tc>
          <w:tcPr>
            <w:tcW w:w="1680" w:type="dxa"/>
            <w:tcBorders>
              <w:top w:val="single" w:sz="4" w:space="0" w:color="auto"/>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20,6</w:t>
            </w:r>
          </w:p>
        </w:tc>
      </w:tr>
      <w:tr w:rsidR="00D9574A" w:rsidRPr="00A634A4" w:rsidTr="00FC6A1B">
        <w:trPr>
          <w:trHeight w:val="227"/>
          <w:jc w:val="center"/>
        </w:trPr>
        <w:tc>
          <w:tcPr>
            <w:tcW w:w="1840" w:type="dxa"/>
            <w:tcBorders>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2014-Luglio</w:t>
            </w:r>
          </w:p>
        </w:tc>
        <w:tc>
          <w:tcPr>
            <w:tcW w:w="1680" w:type="dxa"/>
            <w:tcBorders>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12,8</w:t>
            </w:r>
          </w:p>
        </w:tc>
        <w:tc>
          <w:tcPr>
            <w:tcW w:w="1680" w:type="dxa"/>
            <w:tcBorders>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16,4</w:t>
            </w:r>
          </w:p>
        </w:tc>
        <w:tc>
          <w:tcPr>
            <w:tcW w:w="1680" w:type="dxa"/>
            <w:tcBorders>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20,9</w:t>
            </w:r>
          </w:p>
        </w:tc>
      </w:tr>
      <w:tr w:rsidR="00D9574A" w:rsidRPr="005946C5"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2014-Agosto</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12,6</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16,3</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20,7</w:t>
            </w:r>
          </w:p>
        </w:tc>
      </w:tr>
      <w:tr w:rsidR="00D9574A" w:rsidRPr="005946C5"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2014-Settembre</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12,7</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16,4</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0,0</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20,7</w:t>
            </w:r>
          </w:p>
        </w:tc>
      </w:tr>
      <w:tr w:rsidR="00D9574A" w:rsidRPr="005946C5"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2014-Ottobre</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12,8</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16,4</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20,8</w:t>
            </w:r>
          </w:p>
        </w:tc>
      </w:tr>
      <w:tr w:rsidR="00D9574A" w:rsidRPr="005946C5"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2014-Novembre</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13,0</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16,6</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21,1</w:t>
            </w:r>
          </w:p>
        </w:tc>
      </w:tr>
      <w:tr w:rsidR="00D9574A" w:rsidRPr="005946C5" w:rsidTr="00FC6A1B">
        <w:trPr>
          <w:trHeight w:val="227"/>
          <w:jc w:val="center"/>
        </w:trPr>
        <w:tc>
          <w:tcPr>
            <w:tcW w:w="1840" w:type="dxa"/>
            <w:tcBorders>
              <w:top w:val="nil"/>
              <w:left w:val="nil"/>
              <w:bottom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2014-Dicembre</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12,4</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16,0</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-0,5</w:t>
            </w:r>
          </w:p>
        </w:tc>
        <w:tc>
          <w:tcPr>
            <w:tcW w:w="1680" w:type="dxa"/>
            <w:tcBorders>
              <w:top w:val="nil"/>
              <w:left w:val="nil"/>
              <w:bottom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19,9</w:t>
            </w:r>
          </w:p>
        </w:tc>
      </w:tr>
      <w:tr w:rsidR="00D9574A" w:rsidRPr="005946C5" w:rsidTr="00FC6A1B">
        <w:trPr>
          <w:trHeight w:val="227"/>
          <w:jc w:val="center"/>
        </w:trPr>
        <w:tc>
          <w:tcPr>
            <w:tcW w:w="1840" w:type="dxa"/>
            <w:tcBorders>
              <w:top w:val="nil"/>
              <w:left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2015-Gennaio</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12,3</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15,9</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-1,4</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19,1</w:t>
            </w:r>
          </w:p>
        </w:tc>
      </w:tr>
      <w:tr w:rsidR="00D9574A" w:rsidRPr="005946C5" w:rsidTr="00FC6A1B">
        <w:trPr>
          <w:trHeight w:val="227"/>
          <w:jc w:val="center"/>
        </w:trPr>
        <w:tc>
          <w:tcPr>
            <w:tcW w:w="1840" w:type="dxa"/>
            <w:tcBorders>
              <w:top w:val="nil"/>
              <w:left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2015-Febbraio</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12,4</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16,0</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-0,5</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19,8</w:t>
            </w:r>
          </w:p>
        </w:tc>
      </w:tr>
      <w:tr w:rsidR="00D9574A" w:rsidRPr="005946C5" w:rsidTr="00FC6A1B">
        <w:trPr>
          <w:trHeight w:val="227"/>
          <w:jc w:val="center"/>
        </w:trPr>
        <w:tc>
          <w:tcPr>
            <w:tcW w:w="1840" w:type="dxa"/>
            <w:tcBorders>
              <w:top w:val="nil"/>
              <w:left w:val="nil"/>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2015-Marzo</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12,6</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16,2</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0,0</w:t>
            </w:r>
          </w:p>
        </w:tc>
        <w:tc>
          <w:tcPr>
            <w:tcW w:w="1680" w:type="dxa"/>
            <w:tcBorders>
              <w:top w:val="nil"/>
              <w:left w:val="nil"/>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20,5</w:t>
            </w:r>
          </w:p>
        </w:tc>
      </w:tr>
      <w:tr w:rsidR="00D9574A" w:rsidRPr="005946C5" w:rsidTr="00FC6A1B">
        <w:trPr>
          <w:trHeight w:val="227"/>
          <w:jc w:val="center"/>
        </w:trPr>
        <w:tc>
          <w:tcPr>
            <w:tcW w:w="1840" w:type="dxa"/>
            <w:tcBorders>
              <w:top w:val="nil"/>
              <w:left w:val="nil"/>
              <w:bottom w:val="double" w:sz="4" w:space="0" w:color="auto"/>
              <w:right w:val="nil"/>
            </w:tcBorders>
            <w:shd w:val="clear" w:color="auto" w:fill="auto"/>
            <w:noWrap/>
            <w:vAlign w:val="center"/>
          </w:tcPr>
          <w:p w:rsidR="00D9574A" w:rsidRDefault="00D9574A" w:rsidP="00D9574A">
            <w:pPr>
              <w:spacing w:after="0"/>
              <w:rPr>
                <w:rFonts w:ascii="Arial" w:hAnsi="Arial" w:cs="Arial"/>
                <w:color w:val="000000"/>
                <w:sz w:val="16"/>
                <w:szCs w:val="16"/>
              </w:rPr>
            </w:pPr>
            <w:r>
              <w:rPr>
                <w:rFonts w:ascii="Arial" w:hAnsi="Arial" w:cs="Arial"/>
                <w:color w:val="000000"/>
                <w:sz w:val="16"/>
                <w:szCs w:val="16"/>
              </w:rPr>
              <w:t>2015-Aprile</w:t>
            </w:r>
          </w:p>
        </w:tc>
        <w:tc>
          <w:tcPr>
            <w:tcW w:w="1680" w:type="dxa"/>
            <w:tcBorders>
              <w:top w:val="nil"/>
              <w:left w:val="nil"/>
              <w:bottom w:val="doub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12,4</w:t>
            </w:r>
          </w:p>
        </w:tc>
        <w:tc>
          <w:tcPr>
            <w:tcW w:w="1680" w:type="dxa"/>
            <w:tcBorders>
              <w:top w:val="nil"/>
              <w:left w:val="nil"/>
              <w:bottom w:val="doub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16,0</w:t>
            </w:r>
          </w:p>
        </w:tc>
        <w:tc>
          <w:tcPr>
            <w:tcW w:w="1680" w:type="dxa"/>
            <w:tcBorders>
              <w:top w:val="nil"/>
              <w:left w:val="nil"/>
              <w:bottom w:val="doub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0,0</w:t>
            </w:r>
          </w:p>
        </w:tc>
        <w:tc>
          <w:tcPr>
            <w:tcW w:w="1680" w:type="dxa"/>
            <w:tcBorders>
              <w:top w:val="nil"/>
              <w:left w:val="nil"/>
              <w:bottom w:val="double" w:sz="4" w:space="0" w:color="auto"/>
              <w:right w:val="nil"/>
            </w:tcBorders>
            <w:shd w:val="clear" w:color="auto" w:fill="auto"/>
            <w:noWrap/>
            <w:vAlign w:val="center"/>
          </w:tcPr>
          <w:p w:rsidR="00D9574A" w:rsidRDefault="00D9574A" w:rsidP="00D9574A">
            <w:pPr>
              <w:spacing w:after="0"/>
              <w:jc w:val="center"/>
              <w:rPr>
                <w:rFonts w:ascii="Arial" w:hAnsi="Arial" w:cs="Arial"/>
                <w:color w:val="000000"/>
                <w:sz w:val="16"/>
                <w:szCs w:val="16"/>
              </w:rPr>
            </w:pPr>
            <w:r>
              <w:rPr>
                <w:rFonts w:ascii="Arial" w:hAnsi="Arial" w:cs="Arial"/>
                <w:color w:val="000000"/>
                <w:sz w:val="16"/>
                <w:szCs w:val="16"/>
              </w:rPr>
              <w:t>20,2</w:t>
            </w:r>
          </w:p>
        </w:tc>
      </w:tr>
    </w:tbl>
    <w:p w:rsidR="00997A5C" w:rsidRPr="00A1342C" w:rsidRDefault="00997A5C" w:rsidP="009D3CE8">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3020EA" w:rsidRPr="00A1342C" w:rsidRDefault="00EF49AC" w:rsidP="00997A5C">
      <w:pPr>
        <w:spacing w:after="0"/>
        <w:ind w:left="567" w:right="566"/>
        <w:jc w:val="both"/>
        <w:rPr>
          <w:rFonts w:ascii="Arial" w:hAnsi="Arial" w:cs="Arial"/>
          <w:sz w:val="16"/>
          <w:szCs w:val="16"/>
        </w:rPr>
      </w:pPr>
      <w:r w:rsidRPr="00A1342C">
        <w:rPr>
          <w:rFonts w:ascii="Arial" w:hAnsi="Arial" w:cs="Arial"/>
          <w:sz w:val="16"/>
          <w:szCs w:val="16"/>
        </w:rPr>
        <w:t xml:space="preserve">Legenda: per le definizioni si veda la nota </w:t>
      </w:r>
      <w:r w:rsidR="00997A5C" w:rsidRPr="00A1342C">
        <w:rPr>
          <w:rFonts w:ascii="Arial" w:hAnsi="Arial" w:cs="Arial"/>
          <w:sz w:val="16"/>
          <w:szCs w:val="16"/>
        </w:rPr>
        <w:t>tecnica</w:t>
      </w:r>
      <w:r w:rsidRPr="00A1342C">
        <w:rPr>
          <w:rFonts w:ascii="Arial" w:hAnsi="Arial" w:cs="Arial"/>
          <w:sz w:val="16"/>
          <w:szCs w:val="16"/>
        </w:rPr>
        <w:t>.</w:t>
      </w:r>
      <w:r w:rsidR="00BA7CA1" w:rsidRPr="00A1342C">
        <w:rPr>
          <w:rFonts w:ascii="Arial" w:hAnsi="Arial" w:cs="Arial"/>
          <w:sz w:val="16"/>
          <w:szCs w:val="16"/>
        </w:rPr>
        <w:t xml:space="preserve"> </w:t>
      </w:r>
      <w:r w:rsidR="00791742" w:rsidRPr="00A1342C">
        <w:rPr>
          <w:rFonts w:ascii="Arial" w:hAnsi="Arial" w:cs="Arial"/>
          <w:sz w:val="16"/>
          <w:szCs w:val="16"/>
        </w:rPr>
        <w:t>* I dati degli</w:t>
      </w:r>
      <w:r w:rsidR="00997A5C" w:rsidRPr="00A1342C">
        <w:rPr>
          <w:rFonts w:ascii="Arial" w:hAnsi="Arial" w:cs="Arial"/>
          <w:sz w:val="16"/>
          <w:szCs w:val="16"/>
        </w:rPr>
        <w:t xml:space="preserve"> ultimi </w:t>
      </w:r>
      <w:r w:rsidR="00446633" w:rsidRPr="002D31B7">
        <w:rPr>
          <w:rFonts w:ascii="Arial" w:hAnsi="Arial" w:cs="Arial"/>
          <w:sz w:val="16"/>
          <w:szCs w:val="16"/>
        </w:rPr>
        <w:t>quattro</w:t>
      </w:r>
      <w:r w:rsidR="00997A5C" w:rsidRPr="002D31B7">
        <w:rPr>
          <w:rFonts w:ascii="Arial" w:hAnsi="Arial" w:cs="Arial"/>
          <w:sz w:val="16"/>
          <w:szCs w:val="16"/>
        </w:rPr>
        <w:t xml:space="preserve"> mesi</w:t>
      </w:r>
      <w:r w:rsidR="00997A5C" w:rsidRPr="00A1342C">
        <w:rPr>
          <w:rFonts w:ascii="Arial" w:hAnsi="Arial" w:cs="Arial"/>
          <w:sz w:val="16"/>
          <w:szCs w:val="16"/>
        </w:rPr>
        <w:t xml:space="preserve"> sono frutto di</w:t>
      </w:r>
      <w:r w:rsidR="00791742" w:rsidRPr="00A1342C">
        <w:rPr>
          <w:rFonts w:ascii="Arial" w:hAnsi="Arial" w:cs="Arial"/>
          <w:sz w:val="16"/>
          <w:szCs w:val="16"/>
        </w:rPr>
        <w:t xml:space="preserve"> stime</w:t>
      </w:r>
      <w:r w:rsidR="00997A5C" w:rsidRPr="00A1342C">
        <w:rPr>
          <w:rFonts w:ascii="Arial" w:hAnsi="Arial" w:cs="Arial"/>
          <w:sz w:val="16"/>
          <w:szCs w:val="16"/>
        </w:rPr>
        <w:t xml:space="preserve"> (cfr. la n</w:t>
      </w:r>
      <w:r w:rsidR="00791742" w:rsidRPr="00A1342C">
        <w:rPr>
          <w:rFonts w:ascii="Arial" w:hAnsi="Arial" w:cs="Arial"/>
          <w:sz w:val="16"/>
          <w:szCs w:val="16"/>
        </w:rPr>
        <w:t xml:space="preserve">ota </w:t>
      </w:r>
      <w:r w:rsidR="00997A5C" w:rsidRPr="00A1342C">
        <w:rPr>
          <w:rFonts w:ascii="Arial" w:hAnsi="Arial" w:cs="Arial"/>
          <w:sz w:val="16"/>
          <w:szCs w:val="16"/>
        </w:rPr>
        <w:t>tecnica</w:t>
      </w:r>
      <w:r w:rsidR="00791742" w:rsidRPr="00A1342C">
        <w:rPr>
          <w:rFonts w:ascii="Arial" w:hAnsi="Arial" w:cs="Arial"/>
          <w:sz w:val="16"/>
          <w:szCs w:val="16"/>
        </w:rPr>
        <w:t xml:space="preserve"> a pag. </w:t>
      </w:r>
      <w:r w:rsidR="007E2E56" w:rsidRPr="00A1342C">
        <w:rPr>
          <w:rFonts w:ascii="Arial" w:hAnsi="Arial" w:cs="Arial"/>
          <w:sz w:val="16"/>
          <w:szCs w:val="16"/>
        </w:rPr>
        <w:t>3</w:t>
      </w:r>
      <w:r w:rsidR="00791742" w:rsidRPr="00A1342C">
        <w:rPr>
          <w:rFonts w:ascii="Arial" w:hAnsi="Arial" w:cs="Arial"/>
          <w:sz w:val="16"/>
          <w:szCs w:val="16"/>
        </w:rPr>
        <w:t>).</w:t>
      </w:r>
    </w:p>
    <w:p w:rsidR="00640849" w:rsidRDefault="00640849" w:rsidP="00640849">
      <w:pPr>
        <w:spacing w:after="0"/>
        <w:ind w:left="567"/>
        <w:jc w:val="center"/>
        <w:rPr>
          <w:rFonts w:ascii="Arial" w:hAnsi="Arial" w:cs="Arial"/>
          <w:b/>
          <w:bCs/>
          <w:sz w:val="24"/>
          <w:szCs w:val="28"/>
        </w:rPr>
      </w:pPr>
      <w:r w:rsidRPr="00163424">
        <w:rPr>
          <w:rFonts w:ascii="Arial" w:hAnsi="Arial" w:cs="Arial"/>
          <w:b/>
          <w:bCs/>
          <w:sz w:val="24"/>
          <w:szCs w:val="28"/>
        </w:rPr>
        <w:t>Figura 1: Misery Index Confcommercio (MIC)</w:t>
      </w:r>
    </w:p>
    <w:p w:rsidR="00DA2E19" w:rsidRDefault="00DA2E19" w:rsidP="006E6417">
      <w:pPr>
        <w:spacing w:after="0"/>
        <w:ind w:left="-142"/>
        <w:jc w:val="center"/>
        <w:rPr>
          <w:rFonts w:ascii="Arial" w:hAnsi="Arial" w:cs="Arial"/>
          <w:b/>
          <w:bCs/>
          <w:sz w:val="24"/>
          <w:szCs w:val="28"/>
        </w:rPr>
      </w:pPr>
      <w:r>
        <w:rPr>
          <w:noProof/>
          <w:lang w:eastAsia="it-IT"/>
        </w:rPr>
        <w:drawing>
          <wp:inline distT="0" distB="0" distL="0" distR="0" wp14:anchorId="1456B741" wp14:editId="216F49EB">
            <wp:extent cx="4914900" cy="2362200"/>
            <wp:effectExtent l="0" t="0" r="19050" b="1905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A5C" w:rsidRPr="00A1342C" w:rsidRDefault="00997A5C" w:rsidP="00BA4696">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7E2E56" w:rsidRDefault="00997A5C" w:rsidP="00BA4696">
      <w:pPr>
        <w:spacing w:after="0"/>
        <w:ind w:left="567" w:right="566"/>
        <w:jc w:val="both"/>
        <w:rPr>
          <w:rFonts w:ascii="Arial" w:hAnsi="Arial" w:cs="Arial"/>
          <w:sz w:val="16"/>
          <w:szCs w:val="16"/>
        </w:rPr>
      </w:pPr>
      <w:r w:rsidRPr="00A1342C">
        <w:rPr>
          <w:rFonts w:ascii="Arial" w:hAnsi="Arial" w:cs="Arial"/>
          <w:sz w:val="16"/>
          <w:szCs w:val="16"/>
        </w:rPr>
        <w:t>Legenda: per le definizioni si veda la nota tecnica.</w:t>
      </w:r>
      <w:r w:rsidR="00B6749E" w:rsidRPr="00A1342C">
        <w:rPr>
          <w:rFonts w:ascii="Arial" w:hAnsi="Arial" w:cs="Arial"/>
          <w:sz w:val="16"/>
          <w:szCs w:val="16"/>
        </w:rPr>
        <w:t xml:space="preserve"> </w:t>
      </w:r>
      <w:r w:rsidR="007E2E56" w:rsidRPr="00A1342C">
        <w:rPr>
          <w:rFonts w:ascii="Arial" w:hAnsi="Arial" w:cs="Arial"/>
          <w:sz w:val="16"/>
          <w:szCs w:val="16"/>
        </w:rPr>
        <w:t xml:space="preserve">I dati degli ultimi </w:t>
      </w:r>
      <w:r w:rsidR="00446633" w:rsidRPr="002D31B7">
        <w:rPr>
          <w:rFonts w:ascii="Arial" w:hAnsi="Arial" w:cs="Arial"/>
          <w:sz w:val="16"/>
          <w:szCs w:val="16"/>
        </w:rPr>
        <w:t>quattro</w:t>
      </w:r>
      <w:r w:rsidR="00E12EE2" w:rsidRPr="002D31B7">
        <w:rPr>
          <w:rFonts w:ascii="Arial" w:hAnsi="Arial" w:cs="Arial"/>
          <w:sz w:val="16"/>
          <w:szCs w:val="16"/>
        </w:rPr>
        <w:t xml:space="preserve"> </w:t>
      </w:r>
      <w:r w:rsidR="00B178EE" w:rsidRPr="002D31B7">
        <w:rPr>
          <w:rFonts w:ascii="Arial" w:hAnsi="Arial" w:cs="Arial"/>
          <w:sz w:val="16"/>
          <w:szCs w:val="16"/>
        </w:rPr>
        <w:t>mesi</w:t>
      </w:r>
      <w:r w:rsidR="007E2E56" w:rsidRPr="00A1342C">
        <w:rPr>
          <w:rFonts w:ascii="Arial" w:hAnsi="Arial" w:cs="Arial"/>
          <w:sz w:val="16"/>
          <w:szCs w:val="16"/>
        </w:rPr>
        <w:t xml:space="preserve"> sono frutto di stime (cfr. la nota tecnica a pag. 3).</w:t>
      </w:r>
    </w:p>
    <w:p w:rsidR="008118D7" w:rsidRDefault="008118D7" w:rsidP="00BA4696">
      <w:pPr>
        <w:spacing w:after="0"/>
        <w:ind w:left="567" w:right="566"/>
        <w:jc w:val="both"/>
        <w:rPr>
          <w:rFonts w:ascii="Arial" w:hAnsi="Arial" w:cs="Arial"/>
          <w:sz w:val="16"/>
          <w:szCs w:val="16"/>
        </w:rPr>
      </w:pPr>
    </w:p>
    <w:p w:rsidR="00AE79DD" w:rsidRDefault="00AE79DD" w:rsidP="00BA4696">
      <w:pPr>
        <w:spacing w:after="0"/>
        <w:ind w:left="567" w:right="566"/>
        <w:jc w:val="both"/>
        <w:rPr>
          <w:rFonts w:ascii="Arial" w:hAnsi="Arial" w:cs="Arial"/>
          <w:sz w:val="16"/>
          <w:szCs w:val="16"/>
        </w:rPr>
      </w:pPr>
    </w:p>
    <w:p w:rsidR="00AE79DD" w:rsidRDefault="00AE79DD" w:rsidP="00BA4696">
      <w:pPr>
        <w:spacing w:after="0"/>
        <w:ind w:left="567" w:right="566"/>
        <w:jc w:val="both"/>
        <w:rPr>
          <w:rFonts w:ascii="Arial" w:hAnsi="Arial" w:cs="Arial"/>
          <w:sz w:val="16"/>
          <w:szCs w:val="16"/>
        </w:rPr>
      </w:pPr>
    </w:p>
    <w:p w:rsidR="00AE79DD" w:rsidRDefault="00AE79DD" w:rsidP="00BA4696">
      <w:pPr>
        <w:spacing w:after="0"/>
        <w:ind w:left="567" w:right="566"/>
        <w:jc w:val="both"/>
        <w:rPr>
          <w:rFonts w:ascii="Arial" w:hAnsi="Arial" w:cs="Arial"/>
          <w:sz w:val="16"/>
          <w:szCs w:val="16"/>
        </w:rPr>
      </w:pPr>
    </w:p>
    <w:p w:rsidR="008E7FC7" w:rsidRPr="00A1342C" w:rsidRDefault="00CE41BA" w:rsidP="008E7FC7">
      <w:pPr>
        <w:spacing w:line="24" w:lineRule="atLeast"/>
        <w:jc w:val="center"/>
        <w:rPr>
          <w:rFonts w:ascii="Arial" w:hAnsi="Arial" w:cs="Arial"/>
          <w:b/>
          <w:bCs/>
          <w:color w:val="0000FF"/>
          <w:sz w:val="24"/>
          <w:szCs w:val="24"/>
        </w:rPr>
      </w:pPr>
      <w:r>
        <w:rPr>
          <w:rFonts w:ascii="Arial" w:hAnsi="Arial" w:cs="Arial"/>
          <w:b/>
          <w:bCs/>
          <w:color w:val="0000FF"/>
          <w:sz w:val="24"/>
          <w:szCs w:val="24"/>
        </w:rPr>
        <w:t>N</w:t>
      </w:r>
      <w:r w:rsidR="008E7FC7" w:rsidRPr="00A1342C">
        <w:rPr>
          <w:rFonts w:ascii="Arial" w:hAnsi="Arial" w:cs="Arial"/>
          <w:b/>
          <w:bCs/>
          <w:color w:val="0000FF"/>
          <w:sz w:val="24"/>
          <w:szCs w:val="24"/>
        </w:rPr>
        <w:t xml:space="preserve">ota </w:t>
      </w:r>
      <w:r w:rsidR="00997A5C" w:rsidRPr="00A1342C">
        <w:rPr>
          <w:rFonts w:ascii="Arial" w:hAnsi="Arial" w:cs="Arial"/>
          <w:b/>
          <w:bCs/>
          <w:color w:val="0000FF"/>
          <w:sz w:val="24"/>
          <w:szCs w:val="24"/>
        </w:rPr>
        <w:t>tecnica</w:t>
      </w:r>
      <w:r w:rsidR="008E7FC7" w:rsidRPr="00A1342C">
        <w:rPr>
          <w:rFonts w:ascii="Arial" w:hAnsi="Arial" w:cs="Arial"/>
          <w:b/>
          <w:bCs/>
          <w:color w:val="0000FF"/>
          <w:sz w:val="24"/>
          <w:szCs w:val="24"/>
        </w:rPr>
        <w:t xml:space="preserve"> sul calcolo del Misery Index Confcommercio (MIC)</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w:t>
      </w:r>
      <w:r w:rsidRPr="00A1342C">
        <w:rPr>
          <w:rFonts w:ascii="Arial" w:hAnsi="Arial" w:cs="Arial"/>
          <w:sz w:val="16"/>
          <w:szCs w:val="16"/>
        </w:rPr>
        <w:t xml:space="preserve"> </w:t>
      </w:r>
      <w:r w:rsidR="008A4979" w:rsidRPr="00A1342C">
        <w:rPr>
          <w:rFonts w:ascii="Arial" w:hAnsi="Arial" w:cs="Arial"/>
          <w:b/>
          <w:sz w:val="16"/>
          <w:szCs w:val="16"/>
        </w:rPr>
        <w:t>(MI)</w:t>
      </w:r>
      <w:r w:rsidR="008A4979" w:rsidRPr="00A1342C">
        <w:rPr>
          <w:rFonts w:ascii="Arial" w:hAnsi="Arial" w:cs="Arial"/>
          <w:sz w:val="16"/>
          <w:szCs w:val="16"/>
        </w:rPr>
        <w:t xml:space="preserve"> </w:t>
      </w:r>
      <w:r w:rsidRPr="00A1342C">
        <w:rPr>
          <w:rFonts w:ascii="Arial" w:hAnsi="Arial" w:cs="Arial"/>
          <w:sz w:val="16"/>
          <w:szCs w:val="16"/>
        </w:rPr>
        <w:t>tradizionale è dato dalla semplice somma di tasso di disoccupazione e tasso d’inflazione. I pesi assegnati ai due “mali” sono dunque identici e pari a 1.</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 Confcommercio (MIC)</w:t>
      </w:r>
      <w:r w:rsidRPr="00A1342C">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w:t>
      </w:r>
      <w:r w:rsidR="00283C4D" w:rsidRPr="00A1342C">
        <w:rPr>
          <w:rFonts w:ascii="Arial" w:hAnsi="Arial" w:cs="Arial"/>
          <w:sz w:val="16"/>
          <w:szCs w:val="16"/>
        </w:rPr>
        <w:t>STAT</w:t>
      </w:r>
      <w:r w:rsidRPr="00A1342C">
        <w:rPr>
          <w:rFonts w:ascii="Arial" w:hAnsi="Arial" w:cs="Arial"/>
          <w:sz w:val="16"/>
          <w:szCs w:val="16"/>
        </w:rPr>
        <w:t>): le dinamiche di prezzo di questo paniere dovrebbero influenzare in modo più diretto la percezione dell’inflazione da parte delle famiglie, correlandosi direttamente con le preoccupazioni (disagio) in merito al proprio potere d’acquisto.</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Si assegnano pesi diversi alle due componenti, disoccupazione e</w:t>
      </w:r>
      <w:r w:rsidR="008A4979" w:rsidRPr="00A1342C">
        <w:rPr>
          <w:rFonts w:ascii="Arial" w:hAnsi="Arial" w:cs="Arial"/>
          <w:sz w:val="16"/>
          <w:szCs w:val="16"/>
        </w:rPr>
        <w:t>d</w:t>
      </w:r>
      <w:r w:rsidRPr="00A1342C">
        <w:rPr>
          <w:rFonts w:ascii="Arial" w:hAnsi="Arial" w:cs="Arial"/>
          <w:sz w:val="16"/>
          <w:szCs w:val="16"/>
        </w:rPr>
        <w:t xml:space="preserve"> inflazione, rispe</w:t>
      </w:r>
      <w:r w:rsidR="009B1DCC" w:rsidRPr="00A1342C">
        <w:rPr>
          <w:rFonts w:ascii="Arial" w:hAnsi="Arial" w:cs="Arial"/>
          <w:sz w:val="16"/>
          <w:szCs w:val="16"/>
        </w:rPr>
        <w:t>ttivamente 1,2647 e 0,7353. Ciò</w:t>
      </w:r>
      <w:r w:rsidRPr="00A1342C">
        <w:rPr>
          <w:rFonts w:ascii="Arial" w:hAnsi="Arial" w:cs="Arial"/>
          <w:sz w:val="16"/>
          <w:szCs w:val="16"/>
        </w:rPr>
        <w:t xml:space="preserve"> sulla base degli studi scientifici internazionali che, utilizzando dati Eurobarometro sul benessere dei cittadini europei (si veda Di Tella, MacCulloch ed Oswald, 2001), hanno dimostrato come il costo della disoccupazione in termini di soddisfazione di vita sia molto superiore a quello dell’inflazione.</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D’altra parte, tutte le recenti ricerche sociali evidenziano come prima preoccupazione dei cittadini sia la questione del lavoro, e quindi la paura della disoccupazione. Il Misery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Castriota e Giuntella (2010), in cui si stima che, per lasciare indifferente un cittadino medio europeo, l’aumento di un punto di disoccupazione deve essere compensato da una diminuzione di 1,72 punti di inflazione. Di conseguenza, i pesi della disoccupazione e dell’inflazione valgono, rispettiv</w:t>
      </w:r>
      <w:r w:rsidR="00956C16" w:rsidRPr="00A1342C">
        <w:rPr>
          <w:rFonts w:ascii="Arial" w:hAnsi="Arial" w:cs="Arial"/>
          <w:sz w:val="16"/>
          <w:szCs w:val="16"/>
        </w:rPr>
        <w:t>amente,</w:t>
      </w:r>
      <w:r w:rsidRPr="00A1342C">
        <w:rPr>
          <w:rFonts w:ascii="Arial" w:hAnsi="Arial" w:cs="Arial"/>
          <w:sz w:val="16"/>
          <w:szCs w:val="16"/>
        </w:rPr>
        <w:t xml:space="preserve"> (1,72/2,72)x2=1,2647 e (1/2,72)x2=0,7353. I pesi sono moltiplicati per due in modo da lasciare la loro somma uguale a due per consentire una lettura non ambigua dei risultati (anche nel calcolo del Misery Index tradizionale la somma dei pesi è pari a due).</w:t>
      </w:r>
    </w:p>
    <w:p w:rsidR="00F820E5" w:rsidRPr="00A1342C" w:rsidRDefault="00F820E5"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Il tasso di disoccupazione esteso è il termine in parentesi quadra a destra nella seguente formula:</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MIC=0,7353 × (infl. AF) + 1,2647 × [(disocc.+FL pot.+ CIG)/(occ.+disocc.+FL pot.) × 100]</w:t>
      </w:r>
    </w:p>
    <w:p w:rsidR="0061766F" w:rsidRPr="00A1342C" w:rsidRDefault="0061766F"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Al numeratore del tasso </w:t>
      </w:r>
      <w:r w:rsidR="000A1983" w:rsidRPr="00A1342C">
        <w:rPr>
          <w:rFonts w:ascii="Arial" w:hAnsi="Arial" w:cs="Arial"/>
          <w:sz w:val="16"/>
          <w:szCs w:val="16"/>
        </w:rPr>
        <w:t xml:space="preserve">di disoccupazione </w:t>
      </w:r>
      <w:r w:rsidRPr="00A1342C">
        <w:rPr>
          <w:rFonts w:ascii="Arial" w:hAnsi="Arial" w:cs="Arial"/>
          <w:sz w:val="16"/>
          <w:szCs w:val="16"/>
        </w:rPr>
        <w:t>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w:t>
      </w:r>
      <w:r w:rsidR="000A1983" w:rsidRPr="00A1342C">
        <w:rPr>
          <w:rFonts w:ascii="Arial" w:hAnsi="Arial" w:cs="Arial"/>
          <w:sz w:val="16"/>
          <w:szCs w:val="16"/>
        </w:rPr>
        <w:t xml:space="preserve"> pari a uno dal momento che un dipendente a tempo pieno lavora otto ore.</w:t>
      </w:r>
      <w:r w:rsidRPr="00A1342C">
        <w:rPr>
          <w:rFonts w:ascii="Arial" w:hAnsi="Arial" w:cs="Arial"/>
          <w:sz w:val="16"/>
          <w:szCs w:val="16"/>
        </w:rPr>
        <w:t xml:space="preserve"> Le forze di lavoro potenziali correggono opportunamente anche il denominatore, estendendo il concetto tradizionale di forze di lavoro</w:t>
      </w:r>
      <w:r w:rsidR="000A1983" w:rsidRPr="00A1342C">
        <w:rPr>
          <w:rFonts w:ascii="Arial" w:hAnsi="Arial" w:cs="Arial"/>
          <w:sz w:val="16"/>
          <w:szCs w:val="16"/>
        </w:rPr>
        <w:t xml:space="preserve"> a coloro che hanno svolto l’ultima azione d</w:t>
      </w:r>
      <w:r w:rsidR="00BB6C71" w:rsidRPr="00A1342C">
        <w:rPr>
          <w:rFonts w:ascii="Arial" w:hAnsi="Arial" w:cs="Arial"/>
          <w:sz w:val="16"/>
          <w:szCs w:val="16"/>
        </w:rPr>
        <w:t xml:space="preserve">i ricerca da due a tre mesi fa </w:t>
      </w:r>
      <w:r w:rsidR="000A1983" w:rsidRPr="00A1342C">
        <w:rPr>
          <w:rFonts w:ascii="Arial" w:hAnsi="Arial" w:cs="Arial"/>
          <w:sz w:val="16"/>
          <w:szCs w:val="16"/>
        </w:rPr>
        <w:t xml:space="preserve">e che, quindi, sono più </w:t>
      </w:r>
      <w:r w:rsidR="00BB6C71" w:rsidRPr="00A1342C">
        <w:rPr>
          <w:rFonts w:ascii="Arial" w:hAnsi="Arial" w:cs="Arial"/>
          <w:sz w:val="16"/>
          <w:szCs w:val="16"/>
        </w:rPr>
        <w:t>facilmente assimilabili ai disoccupati che agli inattivi</w:t>
      </w:r>
      <w:r w:rsidRPr="00A1342C">
        <w:rPr>
          <w:rFonts w:ascii="Arial" w:hAnsi="Arial" w:cs="Arial"/>
          <w:sz w:val="16"/>
          <w:szCs w:val="16"/>
        </w:rPr>
        <w:t>; i cassaintegrati equivalenti</w:t>
      </w:r>
      <w:r w:rsidR="00BB6C71" w:rsidRPr="00A1342C">
        <w:rPr>
          <w:rFonts w:ascii="Arial" w:hAnsi="Arial" w:cs="Arial"/>
          <w:sz w:val="16"/>
          <w:szCs w:val="16"/>
        </w:rPr>
        <w:t>, invece,</w:t>
      </w:r>
      <w:r w:rsidRPr="00A1342C">
        <w:rPr>
          <w:rFonts w:ascii="Arial" w:hAnsi="Arial" w:cs="Arial"/>
          <w:sz w:val="16"/>
          <w:szCs w:val="16"/>
        </w:rPr>
        <w:t xml:space="preserve"> non compaiono al </w:t>
      </w:r>
      <w:r w:rsidR="00BB6C71" w:rsidRPr="00A1342C">
        <w:rPr>
          <w:rFonts w:ascii="Arial" w:hAnsi="Arial" w:cs="Arial"/>
          <w:sz w:val="16"/>
          <w:szCs w:val="16"/>
        </w:rPr>
        <w:t>denomina</w:t>
      </w:r>
      <w:r w:rsidRPr="00A1342C">
        <w:rPr>
          <w:rFonts w:ascii="Arial" w:hAnsi="Arial" w:cs="Arial"/>
          <w:sz w:val="16"/>
          <w:szCs w:val="16"/>
        </w:rPr>
        <w:t>tore perché già</w:t>
      </w:r>
      <w:r w:rsidR="00BB6C71" w:rsidRPr="00A1342C">
        <w:rPr>
          <w:rFonts w:ascii="Arial" w:hAnsi="Arial" w:cs="Arial"/>
          <w:sz w:val="16"/>
          <w:szCs w:val="16"/>
        </w:rPr>
        <w:t xml:space="preserve"> conteggiati</w:t>
      </w:r>
      <w:r w:rsidRPr="00A1342C">
        <w:rPr>
          <w:rFonts w:ascii="Arial" w:hAnsi="Arial" w:cs="Arial"/>
          <w:sz w:val="16"/>
          <w:szCs w:val="16"/>
        </w:rPr>
        <w:t xml:space="preserve"> </w:t>
      </w:r>
      <w:r w:rsidR="00BB6C71" w:rsidRPr="00A1342C">
        <w:rPr>
          <w:rFonts w:ascii="Arial" w:hAnsi="Arial" w:cs="Arial"/>
          <w:sz w:val="16"/>
          <w:szCs w:val="16"/>
        </w:rPr>
        <w:t>(</w:t>
      </w:r>
      <w:r w:rsidRPr="00A1342C">
        <w:rPr>
          <w:rFonts w:ascii="Arial" w:hAnsi="Arial" w:cs="Arial"/>
          <w:sz w:val="16"/>
          <w:szCs w:val="16"/>
        </w:rPr>
        <w:t>nella rilevazione dell’I</w:t>
      </w:r>
      <w:r w:rsidR="00283C4D" w:rsidRPr="00A1342C">
        <w:rPr>
          <w:rFonts w:ascii="Arial" w:hAnsi="Arial" w:cs="Arial"/>
          <w:sz w:val="16"/>
          <w:szCs w:val="16"/>
        </w:rPr>
        <w:t>STAT</w:t>
      </w:r>
      <w:r w:rsidRPr="00A1342C">
        <w:rPr>
          <w:rFonts w:ascii="Arial" w:hAnsi="Arial" w:cs="Arial"/>
          <w:sz w:val="16"/>
          <w:szCs w:val="16"/>
        </w:rPr>
        <w:t xml:space="preserve"> </w:t>
      </w:r>
      <w:r w:rsidR="00283C4D" w:rsidRPr="00A1342C">
        <w:rPr>
          <w:rFonts w:ascii="Arial" w:hAnsi="Arial" w:cs="Arial"/>
          <w:sz w:val="16"/>
          <w:szCs w:val="16"/>
        </w:rPr>
        <w:t xml:space="preserve">figurano </w:t>
      </w:r>
      <w:r w:rsidRPr="00A1342C">
        <w:rPr>
          <w:rFonts w:ascii="Arial" w:hAnsi="Arial" w:cs="Arial"/>
          <w:sz w:val="16"/>
          <w:szCs w:val="16"/>
        </w:rPr>
        <w:t>tra gli occupati</w:t>
      </w:r>
      <w:r w:rsidR="00BB6C71" w:rsidRPr="00A1342C">
        <w:rPr>
          <w:rFonts w:ascii="Arial" w:hAnsi="Arial" w:cs="Arial"/>
          <w:sz w:val="16"/>
          <w:szCs w:val="16"/>
        </w:rPr>
        <w:t>)</w:t>
      </w:r>
      <w:r w:rsidRPr="00A1342C">
        <w:rPr>
          <w:rFonts w:ascii="Arial" w:hAnsi="Arial" w:cs="Arial"/>
          <w:sz w:val="16"/>
          <w:szCs w:val="16"/>
        </w:rPr>
        <w:t xml:space="preserve">. </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Di seguito la descrizione delle singole variabili e le fonti:</w:t>
      </w:r>
    </w:p>
    <w:p w:rsidR="00017513" w:rsidRPr="00A1342C" w:rsidRDefault="00017513" w:rsidP="00017513">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 xml:space="preserve">Tasso di inflazione </w:t>
      </w:r>
      <w:r w:rsidR="007713AA" w:rsidRPr="00A1342C">
        <w:rPr>
          <w:rFonts w:ascii="Arial" w:hAnsi="Arial" w:cs="Arial"/>
          <w:sz w:val="16"/>
          <w:szCs w:val="16"/>
        </w:rPr>
        <w:t xml:space="preserve">dei prodotti </w:t>
      </w:r>
      <w:r w:rsidRPr="00A1342C">
        <w:rPr>
          <w:rFonts w:ascii="Arial" w:hAnsi="Arial" w:cs="Arial"/>
          <w:sz w:val="16"/>
          <w:szCs w:val="16"/>
        </w:rPr>
        <w:t>ad alta frequenza</w:t>
      </w:r>
      <w:r w:rsidR="007713AA" w:rsidRPr="00A1342C">
        <w:rPr>
          <w:rFonts w:ascii="Arial" w:hAnsi="Arial" w:cs="Arial"/>
          <w:sz w:val="16"/>
          <w:szCs w:val="16"/>
        </w:rPr>
        <w:t xml:space="preserve"> d’acquisto</w:t>
      </w:r>
      <w:r w:rsidRPr="00A1342C">
        <w:rPr>
          <w:rFonts w:ascii="Arial" w:hAnsi="Arial" w:cs="Arial"/>
          <w:sz w:val="16"/>
          <w:szCs w:val="16"/>
        </w:rPr>
        <w:t xml:space="preserve">: </w:t>
      </w:r>
      <w:r w:rsidR="007713AA" w:rsidRPr="00A1342C">
        <w:rPr>
          <w:rFonts w:ascii="Arial" w:hAnsi="Arial" w:cs="Arial"/>
          <w:sz w:val="16"/>
          <w:szCs w:val="16"/>
        </w:rPr>
        <w:t>dati mensili di fonte ISTAT, variazione tendenziale</w:t>
      </w:r>
      <w:r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disoccupazione, occupati e disoccupati: dati mensili d</w:t>
      </w:r>
      <w:r w:rsidR="009D3CE8" w:rsidRPr="00A1342C">
        <w:rPr>
          <w:rFonts w:ascii="Arial" w:hAnsi="Arial" w:cs="Arial"/>
          <w:sz w:val="16"/>
          <w:szCs w:val="16"/>
        </w:rPr>
        <w:t xml:space="preserve">estagionalizzati di fonte </w:t>
      </w:r>
      <w:r w:rsidR="00017513" w:rsidRPr="00A1342C">
        <w:rPr>
          <w:rFonts w:ascii="Arial" w:hAnsi="Arial" w:cs="Arial"/>
          <w:sz w:val="16"/>
          <w:szCs w:val="16"/>
        </w:rPr>
        <w:t>ISTAT</w:t>
      </w:r>
      <w:r w:rsidR="009D3CE8"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Ore CIG: dati mensili INPS sulle ore di CIG effettivamente utilizzate (tiraggio, confronti omogenei</w:t>
      </w:r>
      <w:r w:rsidR="003D647F" w:rsidRPr="00A1342C">
        <w:rPr>
          <w:rFonts w:ascii="Arial" w:hAnsi="Arial" w:cs="Arial"/>
          <w:sz w:val="16"/>
          <w:szCs w:val="16"/>
        </w:rPr>
        <w:t>)</w:t>
      </w:r>
      <w:r w:rsidR="009D3CE8" w:rsidRPr="00A1342C">
        <w:rPr>
          <w:rFonts w:ascii="Arial" w:hAnsi="Arial" w:cs="Arial"/>
          <w:sz w:val="16"/>
          <w:szCs w:val="16"/>
        </w:rPr>
        <w:t>;</w:t>
      </w:r>
      <w:r w:rsidR="00AD0A88" w:rsidRPr="00A1342C">
        <w:rPr>
          <w:rFonts w:ascii="Arial" w:hAnsi="Arial" w:cs="Arial"/>
          <w:sz w:val="16"/>
          <w:szCs w:val="16"/>
        </w:rPr>
        <w:t xml:space="preserve"> tale stima costituisce un’approssimazione dal momento che </w:t>
      </w:r>
      <w:r w:rsidR="0022446D" w:rsidRPr="00A1342C">
        <w:rPr>
          <w:rFonts w:ascii="Arial" w:hAnsi="Arial" w:cs="Arial"/>
          <w:sz w:val="16"/>
          <w:szCs w:val="16"/>
        </w:rPr>
        <w:t>le comunicazioni delle aziende all’INPS non sono sempre contestuali al periodo di fruizione del sussidio da parte del lavoratore</w:t>
      </w:r>
      <w:r w:rsidR="00002EF3">
        <w:rPr>
          <w:rFonts w:ascii="Arial" w:hAnsi="Arial" w:cs="Arial"/>
          <w:sz w:val="16"/>
          <w:szCs w:val="16"/>
        </w:rPr>
        <w:t>. I dati sono stati destagionalizzati con TRAMO-SEATS</w:t>
      </w:r>
      <w:r w:rsidR="00AD0A88" w:rsidRPr="00A1342C">
        <w:rPr>
          <w:rFonts w:ascii="Arial" w:hAnsi="Arial" w:cs="Arial"/>
          <w:sz w:val="16"/>
          <w:szCs w:val="16"/>
        </w:rPr>
        <w:t>;</w:t>
      </w:r>
    </w:p>
    <w:p w:rsidR="009D3CE8" w:rsidRPr="003D647F" w:rsidRDefault="0061766F"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CIG: numero di CIG-teste, calcolate dividendo le Ore CIG</w:t>
      </w:r>
      <w:r w:rsidR="009D3CE8" w:rsidRPr="003D647F">
        <w:rPr>
          <w:rFonts w:ascii="Arial" w:hAnsi="Arial" w:cs="Arial"/>
          <w:sz w:val="16"/>
          <w:szCs w:val="16"/>
        </w:rPr>
        <w:t xml:space="preserve"> totali per 2000</w:t>
      </w:r>
      <w:r w:rsidR="00F24BEE" w:rsidRPr="003D647F">
        <w:rPr>
          <w:rFonts w:ascii="Arial" w:hAnsi="Arial" w:cs="Arial"/>
          <w:sz w:val="16"/>
          <w:szCs w:val="16"/>
        </w:rPr>
        <w:t xml:space="preserve"> ore annue (166,6 al mese)</w:t>
      </w:r>
      <w:r w:rsidR="009D3CE8" w:rsidRPr="003D647F">
        <w:rPr>
          <w:rFonts w:ascii="Arial" w:hAnsi="Arial" w:cs="Arial"/>
          <w:sz w:val="16"/>
          <w:szCs w:val="16"/>
        </w:rPr>
        <w:t xml:space="preserve">; </w:t>
      </w:r>
    </w:p>
    <w:p w:rsidR="0061766F" w:rsidRPr="003D647F" w:rsidRDefault="009D3CE8"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F</w:t>
      </w:r>
      <w:r w:rsidR="0061766F" w:rsidRPr="003D647F">
        <w:rPr>
          <w:rFonts w:ascii="Arial" w:hAnsi="Arial" w:cs="Arial"/>
          <w:sz w:val="16"/>
          <w:szCs w:val="16"/>
        </w:rPr>
        <w:t xml:space="preserve">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sidR="0061766F" w:rsidRPr="003D647F">
          <w:rPr>
            <w:rFonts w:ascii="Arial" w:hAnsi="Arial" w:cs="Arial"/>
            <w:sz w:val="16"/>
            <w:szCs w:val="16"/>
          </w:rPr>
          <w:t>2 a</w:t>
        </w:r>
      </w:smartTag>
      <w:r w:rsidR="0061766F" w:rsidRPr="003D647F">
        <w:rPr>
          <w:rFonts w:ascii="Arial" w:hAnsi="Arial" w:cs="Arial"/>
          <w:sz w:val="16"/>
          <w:szCs w:val="16"/>
        </w:rPr>
        <w:t xml:space="preserve"> 3 mesi pri</w:t>
      </w:r>
      <w:r w:rsidR="003D647F" w:rsidRPr="003D647F">
        <w:rPr>
          <w:rFonts w:ascii="Arial" w:hAnsi="Arial" w:cs="Arial"/>
          <w:sz w:val="16"/>
          <w:szCs w:val="16"/>
        </w:rPr>
        <w:t>ma dell’intervista</w:t>
      </w:r>
      <w:r w:rsidR="00F24BEE" w:rsidRPr="003D647F">
        <w:rPr>
          <w:rFonts w:ascii="Arial" w:hAnsi="Arial" w:cs="Arial"/>
          <w:sz w:val="16"/>
          <w:szCs w:val="16"/>
        </w:rPr>
        <w:t>.</w:t>
      </w:r>
      <w:r w:rsidR="003D647F" w:rsidRPr="003D647F">
        <w:rPr>
          <w:rFonts w:ascii="Arial" w:hAnsi="Arial" w:cs="Arial"/>
          <w:sz w:val="16"/>
          <w:szCs w:val="16"/>
        </w:rPr>
        <w:t xml:space="preserve"> I dati sulle forze lavoro potenziali, forniti dall’ISTAT su base trimestrale, sono stati </w:t>
      </w:r>
      <w:r w:rsidR="00852BA1">
        <w:rPr>
          <w:rFonts w:ascii="Arial" w:hAnsi="Arial" w:cs="Arial"/>
          <w:sz w:val="16"/>
          <w:szCs w:val="16"/>
        </w:rPr>
        <w:t xml:space="preserve">destagionalizzati con TRAMO-SEATS e </w:t>
      </w:r>
      <w:r w:rsidR="003D647F" w:rsidRPr="003D647F">
        <w:rPr>
          <w:rFonts w:ascii="Arial" w:hAnsi="Arial" w:cs="Arial"/>
          <w:sz w:val="16"/>
          <w:szCs w:val="16"/>
        </w:rPr>
        <w:t>mensilizzati.</w:t>
      </w:r>
    </w:p>
    <w:p w:rsidR="003D647F" w:rsidRPr="003D647F" w:rsidRDefault="003D647F" w:rsidP="003D647F">
      <w:pPr>
        <w:pStyle w:val="Paragrafoelenco1"/>
        <w:spacing w:after="0" w:line="288" w:lineRule="auto"/>
        <w:ind w:left="1429"/>
        <w:jc w:val="both"/>
        <w:rPr>
          <w:rFonts w:ascii="Arial" w:hAnsi="Arial" w:cs="Arial"/>
          <w:sz w:val="16"/>
          <w:szCs w:val="16"/>
        </w:rPr>
      </w:pPr>
    </w:p>
    <w:p w:rsidR="003D647F" w:rsidRPr="002D31B7" w:rsidRDefault="003D647F" w:rsidP="003D647F">
      <w:pPr>
        <w:pStyle w:val="Paragrafoelenco1"/>
        <w:spacing w:after="0" w:line="288" w:lineRule="auto"/>
        <w:jc w:val="both"/>
        <w:rPr>
          <w:rFonts w:ascii="Arial" w:hAnsi="Arial" w:cs="Arial"/>
          <w:sz w:val="16"/>
          <w:szCs w:val="16"/>
        </w:rPr>
      </w:pPr>
      <w:r w:rsidRPr="002D31B7">
        <w:rPr>
          <w:rFonts w:ascii="Arial" w:hAnsi="Arial" w:cs="Arial"/>
          <w:b/>
          <w:sz w:val="16"/>
          <w:szCs w:val="16"/>
        </w:rPr>
        <w:t>Per il presente numero</w:t>
      </w:r>
    </w:p>
    <w:p w:rsidR="003D647F" w:rsidRPr="002D31B7" w:rsidRDefault="003D647F" w:rsidP="003D647F">
      <w:pPr>
        <w:pStyle w:val="Paragrafoelenco1"/>
        <w:numPr>
          <w:ilvl w:val="0"/>
          <w:numId w:val="6"/>
        </w:numPr>
        <w:spacing w:after="0" w:line="288" w:lineRule="auto"/>
        <w:jc w:val="both"/>
        <w:rPr>
          <w:rFonts w:ascii="Arial" w:hAnsi="Arial" w:cs="Arial"/>
          <w:sz w:val="16"/>
          <w:szCs w:val="16"/>
        </w:rPr>
      </w:pPr>
      <w:r w:rsidRPr="002D31B7">
        <w:rPr>
          <w:rFonts w:ascii="Arial" w:hAnsi="Arial" w:cs="Arial"/>
          <w:sz w:val="16"/>
          <w:szCs w:val="16"/>
        </w:rPr>
        <w:t>I dati sulle ore di CIG effettivamente utilizzate</w:t>
      </w:r>
      <w:r w:rsidR="00EA6091" w:rsidRPr="002D31B7">
        <w:rPr>
          <w:rFonts w:ascii="Arial" w:hAnsi="Arial" w:cs="Arial"/>
          <w:sz w:val="16"/>
          <w:szCs w:val="16"/>
        </w:rPr>
        <w:t xml:space="preserve"> sono stati destagionalizzati e, per gli</w:t>
      </w:r>
      <w:r w:rsidR="00AD0A88" w:rsidRPr="002D31B7">
        <w:rPr>
          <w:rFonts w:ascii="Arial" w:hAnsi="Arial" w:cs="Arial"/>
          <w:sz w:val="16"/>
          <w:szCs w:val="16"/>
        </w:rPr>
        <w:t xml:space="preserve"> ultimi </w:t>
      </w:r>
      <w:r w:rsidR="00FD1320" w:rsidRPr="002D31B7">
        <w:rPr>
          <w:rFonts w:ascii="Arial" w:hAnsi="Arial" w:cs="Arial"/>
          <w:sz w:val="16"/>
          <w:szCs w:val="16"/>
        </w:rPr>
        <w:t>due</w:t>
      </w:r>
      <w:r w:rsidR="00AD0A88" w:rsidRPr="002D31B7">
        <w:rPr>
          <w:rFonts w:ascii="Arial" w:hAnsi="Arial" w:cs="Arial"/>
          <w:sz w:val="16"/>
          <w:szCs w:val="16"/>
        </w:rPr>
        <w:t xml:space="preserve"> mesi</w:t>
      </w:r>
      <w:r w:rsidR="00EA6091" w:rsidRPr="002D31B7">
        <w:rPr>
          <w:rFonts w:ascii="Arial" w:hAnsi="Arial" w:cs="Arial"/>
          <w:sz w:val="16"/>
          <w:szCs w:val="16"/>
        </w:rPr>
        <w:t>,</w:t>
      </w:r>
      <w:r w:rsidRPr="002D31B7">
        <w:rPr>
          <w:rFonts w:ascii="Arial" w:hAnsi="Arial" w:cs="Arial"/>
          <w:sz w:val="16"/>
          <w:szCs w:val="16"/>
        </w:rPr>
        <w:t xml:space="preserve"> stimati </w:t>
      </w:r>
      <w:r w:rsidR="00D75BB6" w:rsidRPr="002D31B7">
        <w:rPr>
          <w:rFonts w:ascii="Arial" w:hAnsi="Arial" w:cs="Arial"/>
          <w:sz w:val="16"/>
          <w:szCs w:val="16"/>
        </w:rPr>
        <w:t>con TRAMO-SEATS</w:t>
      </w:r>
      <w:r w:rsidRPr="002D31B7">
        <w:rPr>
          <w:rFonts w:ascii="Arial" w:hAnsi="Arial" w:cs="Arial"/>
          <w:sz w:val="16"/>
          <w:szCs w:val="16"/>
        </w:rPr>
        <w:t>;</w:t>
      </w:r>
    </w:p>
    <w:p w:rsidR="003D647F" w:rsidRPr="002D31B7" w:rsidRDefault="003D647F" w:rsidP="003D647F">
      <w:pPr>
        <w:pStyle w:val="Paragrafoelenco1"/>
        <w:numPr>
          <w:ilvl w:val="0"/>
          <w:numId w:val="6"/>
        </w:numPr>
        <w:spacing w:after="0" w:line="288" w:lineRule="auto"/>
        <w:jc w:val="both"/>
        <w:rPr>
          <w:rFonts w:ascii="Arial" w:hAnsi="Arial" w:cs="Arial"/>
          <w:sz w:val="16"/>
          <w:szCs w:val="16"/>
        </w:rPr>
      </w:pPr>
      <w:r w:rsidRPr="002D31B7">
        <w:rPr>
          <w:rFonts w:ascii="Arial" w:hAnsi="Arial" w:cs="Arial"/>
          <w:sz w:val="16"/>
          <w:szCs w:val="16"/>
        </w:rPr>
        <w:t xml:space="preserve">I dati </w:t>
      </w:r>
      <w:r w:rsidR="00B6749E" w:rsidRPr="002D31B7">
        <w:rPr>
          <w:rFonts w:ascii="Arial" w:hAnsi="Arial" w:cs="Arial"/>
          <w:sz w:val="16"/>
          <w:szCs w:val="16"/>
        </w:rPr>
        <w:t xml:space="preserve">sulle forze di lavoro potenziali </w:t>
      </w:r>
      <w:r w:rsidRPr="002D31B7">
        <w:rPr>
          <w:rFonts w:ascii="Arial" w:hAnsi="Arial" w:cs="Arial"/>
          <w:sz w:val="16"/>
          <w:szCs w:val="16"/>
        </w:rPr>
        <w:t xml:space="preserve">per </w:t>
      </w:r>
      <w:r w:rsidR="009974AB" w:rsidRPr="002D31B7">
        <w:rPr>
          <w:rFonts w:ascii="Arial" w:hAnsi="Arial" w:cs="Arial"/>
          <w:sz w:val="16"/>
          <w:szCs w:val="16"/>
        </w:rPr>
        <w:t xml:space="preserve">gli ultimi </w:t>
      </w:r>
      <w:r w:rsidR="00FE5F4F" w:rsidRPr="002D31B7">
        <w:rPr>
          <w:rFonts w:ascii="Arial" w:hAnsi="Arial" w:cs="Arial"/>
          <w:sz w:val="16"/>
          <w:szCs w:val="16"/>
        </w:rPr>
        <w:t>tre</w:t>
      </w:r>
      <w:r w:rsidR="00E66B80" w:rsidRPr="002D31B7">
        <w:rPr>
          <w:rFonts w:ascii="Arial" w:hAnsi="Arial" w:cs="Arial"/>
          <w:sz w:val="16"/>
          <w:szCs w:val="16"/>
        </w:rPr>
        <w:t xml:space="preserve"> mesi</w:t>
      </w:r>
      <w:r w:rsidR="009974AB" w:rsidRPr="002D31B7">
        <w:rPr>
          <w:rFonts w:ascii="Arial" w:hAnsi="Arial" w:cs="Arial"/>
          <w:sz w:val="16"/>
          <w:szCs w:val="16"/>
        </w:rPr>
        <w:t xml:space="preserve"> </w:t>
      </w:r>
      <w:r w:rsidRPr="002D31B7">
        <w:rPr>
          <w:rFonts w:ascii="Arial" w:hAnsi="Arial" w:cs="Arial"/>
          <w:sz w:val="16"/>
          <w:szCs w:val="16"/>
        </w:rPr>
        <w:t xml:space="preserve">sono stimati applicando ai dati trimestrali un modello </w:t>
      </w:r>
      <w:r w:rsidR="00852BA1" w:rsidRPr="002D31B7">
        <w:rPr>
          <w:rFonts w:ascii="Arial" w:hAnsi="Arial" w:cs="Arial"/>
          <w:sz w:val="16"/>
          <w:szCs w:val="16"/>
        </w:rPr>
        <w:t xml:space="preserve">di previsione </w:t>
      </w:r>
      <w:r w:rsidRPr="002D31B7">
        <w:rPr>
          <w:rFonts w:ascii="Arial" w:hAnsi="Arial" w:cs="Arial"/>
          <w:sz w:val="16"/>
          <w:szCs w:val="16"/>
        </w:rPr>
        <w:t>che tenga c</w:t>
      </w:r>
      <w:r w:rsidR="00D75BB6" w:rsidRPr="002D31B7">
        <w:rPr>
          <w:rFonts w:ascii="Arial" w:hAnsi="Arial" w:cs="Arial"/>
          <w:sz w:val="16"/>
          <w:szCs w:val="16"/>
        </w:rPr>
        <w:t>onto delle ciclicità stagionali</w:t>
      </w:r>
      <w:r w:rsidRPr="002D31B7">
        <w:rPr>
          <w:rFonts w:ascii="Arial" w:hAnsi="Arial" w:cs="Arial"/>
          <w:sz w:val="16"/>
          <w:szCs w:val="16"/>
        </w:rPr>
        <w:t xml:space="preserve"> </w:t>
      </w:r>
      <w:r w:rsidR="00D75BB6" w:rsidRPr="002D31B7">
        <w:rPr>
          <w:rFonts w:ascii="Arial" w:hAnsi="Arial" w:cs="Arial"/>
          <w:sz w:val="16"/>
          <w:szCs w:val="16"/>
        </w:rPr>
        <w:t>(le elaborazioni sono state effettuate con TRAMO-SEATS). L</w:t>
      </w:r>
      <w:r w:rsidRPr="002D31B7">
        <w:rPr>
          <w:rFonts w:ascii="Arial" w:hAnsi="Arial" w:cs="Arial"/>
          <w:sz w:val="16"/>
          <w:szCs w:val="16"/>
        </w:rPr>
        <w:t>a previsione è stata poi opportunamente mensilizzata.</w:t>
      </w:r>
      <w:r w:rsidR="00852BA1" w:rsidRPr="002D31B7">
        <w:rPr>
          <w:rFonts w:ascii="Arial" w:hAnsi="Arial" w:cs="Arial"/>
          <w:sz w:val="16"/>
          <w:szCs w:val="16"/>
        </w:rPr>
        <w:t xml:space="preserve"> </w:t>
      </w:r>
    </w:p>
    <w:p w:rsidR="00640849" w:rsidRPr="009D3CE8" w:rsidRDefault="00640849" w:rsidP="00640849">
      <w:pPr>
        <w:pStyle w:val="Paragrafoelenco1"/>
        <w:spacing w:after="0" w:line="24" w:lineRule="atLeast"/>
        <w:jc w:val="both"/>
        <w:rPr>
          <w:rFonts w:ascii="Arial" w:hAnsi="Arial" w:cs="Arial"/>
          <w:sz w:val="16"/>
          <w:szCs w:val="16"/>
        </w:rPr>
      </w:pPr>
    </w:p>
    <w:p w:rsidR="0061766F" w:rsidRDefault="0061766F" w:rsidP="00C3165A">
      <w:pPr>
        <w:pStyle w:val="Paragrafoelenco1"/>
        <w:spacing w:after="0" w:line="288" w:lineRule="auto"/>
        <w:ind w:left="0" w:firstLine="709"/>
        <w:jc w:val="both"/>
        <w:rPr>
          <w:rFonts w:ascii="Arial" w:hAnsi="Arial" w:cs="Arial"/>
          <w:b/>
          <w:sz w:val="16"/>
          <w:szCs w:val="16"/>
          <w:lang w:val="en-US"/>
        </w:rPr>
      </w:pPr>
      <w:r w:rsidRPr="009D3CE8">
        <w:rPr>
          <w:rFonts w:ascii="Arial" w:hAnsi="Arial" w:cs="Arial"/>
          <w:b/>
          <w:sz w:val="16"/>
          <w:szCs w:val="16"/>
          <w:lang w:val="en-US"/>
        </w:rPr>
        <w:t>Riferimenti</w:t>
      </w:r>
    </w:p>
    <w:p w:rsidR="009D3CE8" w:rsidRPr="009D3CE8" w:rsidRDefault="009D3CE8" w:rsidP="00C3165A">
      <w:pPr>
        <w:pStyle w:val="Paragrafoelenco1"/>
        <w:spacing w:after="0" w:line="288" w:lineRule="auto"/>
        <w:ind w:left="0" w:firstLine="709"/>
        <w:jc w:val="both"/>
        <w:rPr>
          <w:rFonts w:ascii="Arial" w:hAnsi="Arial" w:cs="Arial"/>
          <w:b/>
          <w:sz w:val="16"/>
          <w:szCs w:val="16"/>
          <w:lang w:val="en-US"/>
        </w:rPr>
      </w:pPr>
    </w:p>
    <w:p w:rsidR="00640849"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Becchetti L., Castriota S., Giuntella O. (2010), “The Effects of Age and Job Protection on the Welfare Costs of Inflation and Unemployment”, European Journal of Political Economy, Vol. 26, pp. 137-146.</w:t>
      </w:r>
      <w:r w:rsidR="00C3165A" w:rsidRPr="009D3CE8">
        <w:rPr>
          <w:rFonts w:ascii="Arial" w:hAnsi="Arial" w:cs="Arial"/>
          <w:sz w:val="16"/>
          <w:szCs w:val="16"/>
          <w:lang w:val="en-US"/>
        </w:rPr>
        <w:t xml:space="preserve"> </w:t>
      </w:r>
    </w:p>
    <w:p w:rsidR="00C3165A" w:rsidRPr="009D3CE8" w:rsidRDefault="00C3165A" w:rsidP="00C3165A">
      <w:pPr>
        <w:pStyle w:val="Paragrafoelenco1"/>
        <w:spacing w:after="0" w:line="288" w:lineRule="auto"/>
        <w:ind w:left="0"/>
        <w:jc w:val="both"/>
        <w:rPr>
          <w:rFonts w:ascii="Arial" w:hAnsi="Arial" w:cs="Arial"/>
          <w:sz w:val="16"/>
          <w:szCs w:val="16"/>
          <w:lang w:val="en-US"/>
        </w:rPr>
      </w:pPr>
    </w:p>
    <w:p w:rsidR="00723FCE"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Di Tella R., MacCulloch R., Oswald A. (2001), “Preferences over Inflation and Unemployment: Evidence from Surveys of Happiness”, American Economic Review, Vol. 91, pp. 335-341.</w:t>
      </w:r>
    </w:p>
    <w:sectPr w:rsidR="00723FCE" w:rsidRPr="009D3CE8" w:rsidSect="00F50828">
      <w:headerReference w:type="default" r:id="rId11"/>
      <w:footerReference w:type="default" r:id="rId12"/>
      <w:pgSz w:w="11906" w:h="16838" w:code="9"/>
      <w:pgMar w:top="964" w:right="1134" w:bottom="96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A6" w:rsidRDefault="006C43A6" w:rsidP="009E2AA9">
      <w:pPr>
        <w:spacing w:after="0" w:line="240" w:lineRule="auto"/>
      </w:pPr>
      <w:r>
        <w:separator/>
      </w:r>
    </w:p>
  </w:endnote>
  <w:endnote w:type="continuationSeparator" w:id="0">
    <w:p w:rsidR="006C43A6" w:rsidRDefault="006C43A6"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40964086"/>
      <w:docPartObj>
        <w:docPartGallery w:val="Page Numbers (Bottom of Page)"/>
        <w:docPartUnique/>
      </w:docPartObj>
    </w:sdtPr>
    <w:sdtEndPr/>
    <w:sdtContent>
      <w:p w:rsidR="009E2AA9" w:rsidRPr="00F820E5" w:rsidRDefault="009E2AA9" w:rsidP="009B6E3B">
        <w:pPr>
          <w:pStyle w:val="Pidipagina"/>
          <w:spacing w:before="240"/>
          <w:jc w:val="center"/>
          <w:rPr>
            <w:rFonts w:ascii="Arial" w:hAnsi="Arial" w:cs="Arial"/>
            <w:sz w:val="20"/>
          </w:rPr>
        </w:pPr>
        <w:r w:rsidRPr="009B6E3B">
          <w:rPr>
            <w:rFonts w:ascii="Arial" w:hAnsi="Arial" w:cs="Arial"/>
            <w:sz w:val="20"/>
          </w:rPr>
          <w:fldChar w:fldCharType="begin"/>
        </w:r>
        <w:r w:rsidRPr="009B6E3B">
          <w:rPr>
            <w:rFonts w:ascii="Arial" w:hAnsi="Arial" w:cs="Arial"/>
            <w:sz w:val="20"/>
          </w:rPr>
          <w:instrText>PAGE   \* MERGEFORMAT</w:instrText>
        </w:r>
        <w:r w:rsidRPr="009B6E3B">
          <w:rPr>
            <w:rFonts w:ascii="Arial" w:hAnsi="Arial" w:cs="Arial"/>
            <w:sz w:val="20"/>
          </w:rPr>
          <w:fldChar w:fldCharType="separate"/>
        </w:r>
        <w:r w:rsidR="006C43A6">
          <w:rPr>
            <w:rFonts w:ascii="Arial" w:hAnsi="Arial" w:cs="Arial"/>
            <w:noProof/>
            <w:sz w:val="20"/>
          </w:rPr>
          <w:t>1</w:t>
        </w:r>
        <w:r w:rsidRPr="009B6E3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A6" w:rsidRDefault="006C43A6" w:rsidP="009E2AA9">
      <w:pPr>
        <w:spacing w:after="0" w:line="240" w:lineRule="auto"/>
      </w:pPr>
      <w:r>
        <w:separator/>
      </w:r>
    </w:p>
  </w:footnote>
  <w:footnote w:type="continuationSeparator" w:id="0">
    <w:p w:rsidR="006C43A6" w:rsidRDefault="006C43A6" w:rsidP="009E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CE" w:rsidRDefault="00DB2FCE" w:rsidP="00C62814">
    <w:pPr>
      <w:pStyle w:val="Intestazione"/>
      <w:pBdr>
        <w:between w:val="single" w:sz="4" w:space="1" w:color="4F81BD" w:themeColor="accent1"/>
      </w:pBdr>
      <w:tabs>
        <w:tab w:val="clear" w:pos="4819"/>
      </w:tabs>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02EF3"/>
    <w:rsid w:val="00010827"/>
    <w:rsid w:val="00017513"/>
    <w:rsid w:val="000312F5"/>
    <w:rsid w:val="00034D73"/>
    <w:rsid w:val="000411EC"/>
    <w:rsid w:val="00047779"/>
    <w:rsid w:val="000500ED"/>
    <w:rsid w:val="00055AF7"/>
    <w:rsid w:val="000630BB"/>
    <w:rsid w:val="000648DF"/>
    <w:rsid w:val="00065DF9"/>
    <w:rsid w:val="00067EA9"/>
    <w:rsid w:val="00070E25"/>
    <w:rsid w:val="000743DD"/>
    <w:rsid w:val="00080CB8"/>
    <w:rsid w:val="000812E9"/>
    <w:rsid w:val="00081E30"/>
    <w:rsid w:val="00094ABE"/>
    <w:rsid w:val="000A1983"/>
    <w:rsid w:val="000A7412"/>
    <w:rsid w:val="000B468C"/>
    <w:rsid w:val="000C0B86"/>
    <w:rsid w:val="000D15D2"/>
    <w:rsid w:val="000D3060"/>
    <w:rsid w:val="000D647A"/>
    <w:rsid w:val="000D7CE8"/>
    <w:rsid w:val="000E110D"/>
    <w:rsid w:val="000E5D30"/>
    <w:rsid w:val="000E74BB"/>
    <w:rsid w:val="000F7472"/>
    <w:rsid w:val="00105A05"/>
    <w:rsid w:val="00111B2F"/>
    <w:rsid w:val="00120CAE"/>
    <w:rsid w:val="00122B6D"/>
    <w:rsid w:val="00130EA2"/>
    <w:rsid w:val="00134449"/>
    <w:rsid w:val="00141D7E"/>
    <w:rsid w:val="001459C1"/>
    <w:rsid w:val="00151A25"/>
    <w:rsid w:val="001524D5"/>
    <w:rsid w:val="001552D2"/>
    <w:rsid w:val="00161204"/>
    <w:rsid w:val="00163424"/>
    <w:rsid w:val="00165FA5"/>
    <w:rsid w:val="00166AB1"/>
    <w:rsid w:val="00167028"/>
    <w:rsid w:val="001772C1"/>
    <w:rsid w:val="00184BA2"/>
    <w:rsid w:val="00184C8A"/>
    <w:rsid w:val="00190AA1"/>
    <w:rsid w:val="00197A70"/>
    <w:rsid w:val="001B36DD"/>
    <w:rsid w:val="001C30AF"/>
    <w:rsid w:val="001D4987"/>
    <w:rsid w:val="001D6EA7"/>
    <w:rsid w:val="001E0D21"/>
    <w:rsid w:val="001E1144"/>
    <w:rsid w:val="001E453A"/>
    <w:rsid w:val="001E7813"/>
    <w:rsid w:val="002038E3"/>
    <w:rsid w:val="00204648"/>
    <w:rsid w:val="002120FF"/>
    <w:rsid w:val="002142C9"/>
    <w:rsid w:val="002146E4"/>
    <w:rsid w:val="002209CC"/>
    <w:rsid w:val="00222A01"/>
    <w:rsid w:val="002235A3"/>
    <w:rsid w:val="0022446D"/>
    <w:rsid w:val="00230BED"/>
    <w:rsid w:val="00243CC6"/>
    <w:rsid w:val="00273DE8"/>
    <w:rsid w:val="002776B9"/>
    <w:rsid w:val="002814FA"/>
    <w:rsid w:val="00283C4D"/>
    <w:rsid w:val="002935BC"/>
    <w:rsid w:val="00296E9E"/>
    <w:rsid w:val="002B3E90"/>
    <w:rsid w:val="002B464C"/>
    <w:rsid w:val="002C078E"/>
    <w:rsid w:val="002C16BD"/>
    <w:rsid w:val="002C5B50"/>
    <w:rsid w:val="002D0B05"/>
    <w:rsid w:val="002D31B7"/>
    <w:rsid w:val="002D70BB"/>
    <w:rsid w:val="002E073A"/>
    <w:rsid w:val="002E1133"/>
    <w:rsid w:val="002E32D6"/>
    <w:rsid w:val="002F5129"/>
    <w:rsid w:val="002F7928"/>
    <w:rsid w:val="0030086B"/>
    <w:rsid w:val="003020EA"/>
    <w:rsid w:val="00312690"/>
    <w:rsid w:val="00315E04"/>
    <w:rsid w:val="003236BD"/>
    <w:rsid w:val="00336993"/>
    <w:rsid w:val="00343855"/>
    <w:rsid w:val="003607D8"/>
    <w:rsid w:val="00370B42"/>
    <w:rsid w:val="00370D97"/>
    <w:rsid w:val="0037486B"/>
    <w:rsid w:val="00376C50"/>
    <w:rsid w:val="00377590"/>
    <w:rsid w:val="00386089"/>
    <w:rsid w:val="00387337"/>
    <w:rsid w:val="0039261D"/>
    <w:rsid w:val="00392B41"/>
    <w:rsid w:val="00393A70"/>
    <w:rsid w:val="003A03AA"/>
    <w:rsid w:val="003A3042"/>
    <w:rsid w:val="003A4AF0"/>
    <w:rsid w:val="003B0C59"/>
    <w:rsid w:val="003C162B"/>
    <w:rsid w:val="003C511D"/>
    <w:rsid w:val="003C5BE8"/>
    <w:rsid w:val="003D647F"/>
    <w:rsid w:val="003E26B4"/>
    <w:rsid w:val="003E3763"/>
    <w:rsid w:val="003E57D3"/>
    <w:rsid w:val="003F295F"/>
    <w:rsid w:val="003F36D6"/>
    <w:rsid w:val="003F50CF"/>
    <w:rsid w:val="003F6F68"/>
    <w:rsid w:val="00401D54"/>
    <w:rsid w:val="004118A7"/>
    <w:rsid w:val="004160A8"/>
    <w:rsid w:val="00421DAD"/>
    <w:rsid w:val="00425DA3"/>
    <w:rsid w:val="004304BA"/>
    <w:rsid w:val="004311CC"/>
    <w:rsid w:val="004327D0"/>
    <w:rsid w:val="00432FBD"/>
    <w:rsid w:val="00442AC3"/>
    <w:rsid w:val="00446633"/>
    <w:rsid w:val="004519E9"/>
    <w:rsid w:val="00453A1D"/>
    <w:rsid w:val="004547D3"/>
    <w:rsid w:val="004712EB"/>
    <w:rsid w:val="00480E3C"/>
    <w:rsid w:val="00481970"/>
    <w:rsid w:val="0048214B"/>
    <w:rsid w:val="00494AFF"/>
    <w:rsid w:val="004A06FC"/>
    <w:rsid w:val="004C07F2"/>
    <w:rsid w:val="004C37C9"/>
    <w:rsid w:val="004D0164"/>
    <w:rsid w:val="004D28DB"/>
    <w:rsid w:val="004D6DA4"/>
    <w:rsid w:val="004E0222"/>
    <w:rsid w:val="004E248E"/>
    <w:rsid w:val="004F07C6"/>
    <w:rsid w:val="004F6AEC"/>
    <w:rsid w:val="00500DBC"/>
    <w:rsid w:val="00502BAA"/>
    <w:rsid w:val="005068A5"/>
    <w:rsid w:val="00516CA6"/>
    <w:rsid w:val="00516FD7"/>
    <w:rsid w:val="00527745"/>
    <w:rsid w:val="00530BBF"/>
    <w:rsid w:val="00532CD7"/>
    <w:rsid w:val="00534C8E"/>
    <w:rsid w:val="00554044"/>
    <w:rsid w:val="005547A7"/>
    <w:rsid w:val="005658E3"/>
    <w:rsid w:val="00576A78"/>
    <w:rsid w:val="00591EC1"/>
    <w:rsid w:val="005946C5"/>
    <w:rsid w:val="005A2C25"/>
    <w:rsid w:val="005B0161"/>
    <w:rsid w:val="005C0261"/>
    <w:rsid w:val="005C10ED"/>
    <w:rsid w:val="005C1C11"/>
    <w:rsid w:val="005D0F62"/>
    <w:rsid w:val="005F1A08"/>
    <w:rsid w:val="00600468"/>
    <w:rsid w:val="00614FE9"/>
    <w:rsid w:val="0061766F"/>
    <w:rsid w:val="0062550E"/>
    <w:rsid w:val="00640849"/>
    <w:rsid w:val="006427EA"/>
    <w:rsid w:val="00643283"/>
    <w:rsid w:val="00660BAF"/>
    <w:rsid w:val="00661B78"/>
    <w:rsid w:val="00664AA0"/>
    <w:rsid w:val="006802EB"/>
    <w:rsid w:val="00680BC4"/>
    <w:rsid w:val="006813B2"/>
    <w:rsid w:val="006858C7"/>
    <w:rsid w:val="00695383"/>
    <w:rsid w:val="006A11B5"/>
    <w:rsid w:val="006A3306"/>
    <w:rsid w:val="006A7F22"/>
    <w:rsid w:val="006B510D"/>
    <w:rsid w:val="006B7DEE"/>
    <w:rsid w:val="006B7FC5"/>
    <w:rsid w:val="006C43A6"/>
    <w:rsid w:val="006E1304"/>
    <w:rsid w:val="006E5727"/>
    <w:rsid w:val="006E6417"/>
    <w:rsid w:val="006E7155"/>
    <w:rsid w:val="0070033F"/>
    <w:rsid w:val="00706066"/>
    <w:rsid w:val="0070644A"/>
    <w:rsid w:val="00710FD0"/>
    <w:rsid w:val="00723FCE"/>
    <w:rsid w:val="00724640"/>
    <w:rsid w:val="00730D13"/>
    <w:rsid w:val="00733353"/>
    <w:rsid w:val="00734C8F"/>
    <w:rsid w:val="00741B94"/>
    <w:rsid w:val="00742646"/>
    <w:rsid w:val="00742E19"/>
    <w:rsid w:val="007506E2"/>
    <w:rsid w:val="00760144"/>
    <w:rsid w:val="00770831"/>
    <w:rsid w:val="0077087E"/>
    <w:rsid w:val="007708A1"/>
    <w:rsid w:val="007709B4"/>
    <w:rsid w:val="007713AA"/>
    <w:rsid w:val="0077673E"/>
    <w:rsid w:val="0079138C"/>
    <w:rsid w:val="00791742"/>
    <w:rsid w:val="00797F53"/>
    <w:rsid w:val="007A32AD"/>
    <w:rsid w:val="007A7105"/>
    <w:rsid w:val="007B7073"/>
    <w:rsid w:val="007C00EA"/>
    <w:rsid w:val="007C45B2"/>
    <w:rsid w:val="007D33D4"/>
    <w:rsid w:val="007D4E57"/>
    <w:rsid w:val="007D6258"/>
    <w:rsid w:val="007D6730"/>
    <w:rsid w:val="007D752C"/>
    <w:rsid w:val="007E0858"/>
    <w:rsid w:val="007E219B"/>
    <w:rsid w:val="007E287B"/>
    <w:rsid w:val="007E2E56"/>
    <w:rsid w:val="007F0CD3"/>
    <w:rsid w:val="00802EFF"/>
    <w:rsid w:val="00804D16"/>
    <w:rsid w:val="008118D7"/>
    <w:rsid w:val="00814AA7"/>
    <w:rsid w:val="008164C8"/>
    <w:rsid w:val="00823AE3"/>
    <w:rsid w:val="00825414"/>
    <w:rsid w:val="00825E9E"/>
    <w:rsid w:val="00826E40"/>
    <w:rsid w:val="00841739"/>
    <w:rsid w:val="0084584A"/>
    <w:rsid w:val="00847559"/>
    <w:rsid w:val="00851934"/>
    <w:rsid w:val="00852BA1"/>
    <w:rsid w:val="00860675"/>
    <w:rsid w:val="008677FA"/>
    <w:rsid w:val="0087104A"/>
    <w:rsid w:val="00873AEE"/>
    <w:rsid w:val="00877C3D"/>
    <w:rsid w:val="00883AED"/>
    <w:rsid w:val="0088787E"/>
    <w:rsid w:val="00891266"/>
    <w:rsid w:val="00896943"/>
    <w:rsid w:val="0089756A"/>
    <w:rsid w:val="0089758D"/>
    <w:rsid w:val="008A2D75"/>
    <w:rsid w:val="008A4979"/>
    <w:rsid w:val="008A4CEF"/>
    <w:rsid w:val="008B4999"/>
    <w:rsid w:val="008E2602"/>
    <w:rsid w:val="008E42FB"/>
    <w:rsid w:val="008E5574"/>
    <w:rsid w:val="008E7FC7"/>
    <w:rsid w:val="008F7F81"/>
    <w:rsid w:val="009003E7"/>
    <w:rsid w:val="00901CDB"/>
    <w:rsid w:val="009041FA"/>
    <w:rsid w:val="00904829"/>
    <w:rsid w:val="00907E33"/>
    <w:rsid w:val="00911177"/>
    <w:rsid w:val="00925870"/>
    <w:rsid w:val="00956C16"/>
    <w:rsid w:val="00962738"/>
    <w:rsid w:val="00974101"/>
    <w:rsid w:val="0098126E"/>
    <w:rsid w:val="00981EEC"/>
    <w:rsid w:val="00994874"/>
    <w:rsid w:val="009974AB"/>
    <w:rsid w:val="00997A5C"/>
    <w:rsid w:val="009A0FEA"/>
    <w:rsid w:val="009B1DCC"/>
    <w:rsid w:val="009B27E2"/>
    <w:rsid w:val="009B68EE"/>
    <w:rsid w:val="009B6E3B"/>
    <w:rsid w:val="009B7D22"/>
    <w:rsid w:val="009C2EFE"/>
    <w:rsid w:val="009C2FD3"/>
    <w:rsid w:val="009C78E8"/>
    <w:rsid w:val="009D249A"/>
    <w:rsid w:val="009D3CE8"/>
    <w:rsid w:val="009E23EE"/>
    <w:rsid w:val="009E2AA9"/>
    <w:rsid w:val="009E4D96"/>
    <w:rsid w:val="00A01264"/>
    <w:rsid w:val="00A0142A"/>
    <w:rsid w:val="00A01BD6"/>
    <w:rsid w:val="00A1342C"/>
    <w:rsid w:val="00A16FEC"/>
    <w:rsid w:val="00A22A70"/>
    <w:rsid w:val="00A35904"/>
    <w:rsid w:val="00A43536"/>
    <w:rsid w:val="00A4553A"/>
    <w:rsid w:val="00A51393"/>
    <w:rsid w:val="00A634A4"/>
    <w:rsid w:val="00A77ECC"/>
    <w:rsid w:val="00A855DF"/>
    <w:rsid w:val="00A86A49"/>
    <w:rsid w:val="00A901FB"/>
    <w:rsid w:val="00A911D3"/>
    <w:rsid w:val="00A9132D"/>
    <w:rsid w:val="00A91DB5"/>
    <w:rsid w:val="00AB30F5"/>
    <w:rsid w:val="00AB5FD9"/>
    <w:rsid w:val="00AC12DD"/>
    <w:rsid w:val="00AC2326"/>
    <w:rsid w:val="00AC399C"/>
    <w:rsid w:val="00AC4E51"/>
    <w:rsid w:val="00AD0A88"/>
    <w:rsid w:val="00AD0CEA"/>
    <w:rsid w:val="00AD114B"/>
    <w:rsid w:val="00AD18BD"/>
    <w:rsid w:val="00AE0CFF"/>
    <w:rsid w:val="00AE16A9"/>
    <w:rsid w:val="00AE25B4"/>
    <w:rsid w:val="00AE79DD"/>
    <w:rsid w:val="00AF253B"/>
    <w:rsid w:val="00AF52E5"/>
    <w:rsid w:val="00B010FF"/>
    <w:rsid w:val="00B02B85"/>
    <w:rsid w:val="00B032AE"/>
    <w:rsid w:val="00B052E7"/>
    <w:rsid w:val="00B11504"/>
    <w:rsid w:val="00B13A3B"/>
    <w:rsid w:val="00B14852"/>
    <w:rsid w:val="00B14AB8"/>
    <w:rsid w:val="00B16438"/>
    <w:rsid w:val="00B178EE"/>
    <w:rsid w:val="00B21BEE"/>
    <w:rsid w:val="00B25DC3"/>
    <w:rsid w:val="00B266EA"/>
    <w:rsid w:val="00B27F0F"/>
    <w:rsid w:val="00B36B74"/>
    <w:rsid w:val="00B60F4C"/>
    <w:rsid w:val="00B63293"/>
    <w:rsid w:val="00B65BDE"/>
    <w:rsid w:val="00B6749E"/>
    <w:rsid w:val="00B71B6F"/>
    <w:rsid w:val="00B769D1"/>
    <w:rsid w:val="00B76F34"/>
    <w:rsid w:val="00B80751"/>
    <w:rsid w:val="00B87C6F"/>
    <w:rsid w:val="00B91162"/>
    <w:rsid w:val="00B915D1"/>
    <w:rsid w:val="00B92957"/>
    <w:rsid w:val="00B9617D"/>
    <w:rsid w:val="00BA16DE"/>
    <w:rsid w:val="00BA4696"/>
    <w:rsid w:val="00BA5EF9"/>
    <w:rsid w:val="00BA7CA1"/>
    <w:rsid w:val="00BB6C71"/>
    <w:rsid w:val="00BC0751"/>
    <w:rsid w:val="00BC4C7E"/>
    <w:rsid w:val="00BC5B69"/>
    <w:rsid w:val="00BD1679"/>
    <w:rsid w:val="00BE1F73"/>
    <w:rsid w:val="00BF4F80"/>
    <w:rsid w:val="00C06194"/>
    <w:rsid w:val="00C07E30"/>
    <w:rsid w:val="00C229C6"/>
    <w:rsid w:val="00C3165A"/>
    <w:rsid w:val="00C33FF5"/>
    <w:rsid w:val="00C45350"/>
    <w:rsid w:val="00C4776D"/>
    <w:rsid w:val="00C512C0"/>
    <w:rsid w:val="00C54942"/>
    <w:rsid w:val="00C562CD"/>
    <w:rsid w:val="00C62814"/>
    <w:rsid w:val="00C67FC4"/>
    <w:rsid w:val="00C726B1"/>
    <w:rsid w:val="00C7303C"/>
    <w:rsid w:val="00C75D8B"/>
    <w:rsid w:val="00C83B89"/>
    <w:rsid w:val="00C920F5"/>
    <w:rsid w:val="00C93494"/>
    <w:rsid w:val="00C94C41"/>
    <w:rsid w:val="00CA0608"/>
    <w:rsid w:val="00CA265C"/>
    <w:rsid w:val="00CA63E4"/>
    <w:rsid w:val="00CA67E3"/>
    <w:rsid w:val="00CA6D75"/>
    <w:rsid w:val="00CB280E"/>
    <w:rsid w:val="00CB50D9"/>
    <w:rsid w:val="00CB5625"/>
    <w:rsid w:val="00CB5B21"/>
    <w:rsid w:val="00CC0EFA"/>
    <w:rsid w:val="00CC3E0A"/>
    <w:rsid w:val="00CD2E5A"/>
    <w:rsid w:val="00CE41BA"/>
    <w:rsid w:val="00CE4903"/>
    <w:rsid w:val="00CF3505"/>
    <w:rsid w:val="00CF4AA2"/>
    <w:rsid w:val="00CF5325"/>
    <w:rsid w:val="00D20491"/>
    <w:rsid w:val="00D20FF3"/>
    <w:rsid w:val="00D248BD"/>
    <w:rsid w:val="00D3724F"/>
    <w:rsid w:val="00D47053"/>
    <w:rsid w:val="00D47510"/>
    <w:rsid w:val="00D70E5F"/>
    <w:rsid w:val="00D70E72"/>
    <w:rsid w:val="00D720B2"/>
    <w:rsid w:val="00D728DB"/>
    <w:rsid w:val="00D75BB6"/>
    <w:rsid w:val="00D76A90"/>
    <w:rsid w:val="00D76F8A"/>
    <w:rsid w:val="00D81E64"/>
    <w:rsid w:val="00D85468"/>
    <w:rsid w:val="00D86937"/>
    <w:rsid w:val="00D952C3"/>
    <w:rsid w:val="00D9574A"/>
    <w:rsid w:val="00D96379"/>
    <w:rsid w:val="00DA245B"/>
    <w:rsid w:val="00DA2E19"/>
    <w:rsid w:val="00DA44B0"/>
    <w:rsid w:val="00DB2D7A"/>
    <w:rsid w:val="00DB2FCE"/>
    <w:rsid w:val="00DB4AAE"/>
    <w:rsid w:val="00DB6DCD"/>
    <w:rsid w:val="00DB7CFD"/>
    <w:rsid w:val="00DC2B19"/>
    <w:rsid w:val="00DC5787"/>
    <w:rsid w:val="00DD46E7"/>
    <w:rsid w:val="00DD70EC"/>
    <w:rsid w:val="00DE624C"/>
    <w:rsid w:val="00DE6F17"/>
    <w:rsid w:val="00DF0AA9"/>
    <w:rsid w:val="00DF4992"/>
    <w:rsid w:val="00E102FD"/>
    <w:rsid w:val="00E12EE2"/>
    <w:rsid w:val="00E162FE"/>
    <w:rsid w:val="00E25B8D"/>
    <w:rsid w:val="00E32276"/>
    <w:rsid w:val="00E355C9"/>
    <w:rsid w:val="00E43502"/>
    <w:rsid w:val="00E45B97"/>
    <w:rsid w:val="00E46AAB"/>
    <w:rsid w:val="00E501D5"/>
    <w:rsid w:val="00E56EA6"/>
    <w:rsid w:val="00E64EF8"/>
    <w:rsid w:val="00E66B80"/>
    <w:rsid w:val="00E67BEF"/>
    <w:rsid w:val="00E70785"/>
    <w:rsid w:val="00E72169"/>
    <w:rsid w:val="00E85A03"/>
    <w:rsid w:val="00E87698"/>
    <w:rsid w:val="00E94C13"/>
    <w:rsid w:val="00EA4972"/>
    <w:rsid w:val="00EA6091"/>
    <w:rsid w:val="00EB7EDB"/>
    <w:rsid w:val="00ED50F3"/>
    <w:rsid w:val="00EE120F"/>
    <w:rsid w:val="00EE5BAC"/>
    <w:rsid w:val="00EF0036"/>
    <w:rsid w:val="00EF49AC"/>
    <w:rsid w:val="00F01FE3"/>
    <w:rsid w:val="00F02FF9"/>
    <w:rsid w:val="00F049E7"/>
    <w:rsid w:val="00F07515"/>
    <w:rsid w:val="00F16246"/>
    <w:rsid w:val="00F178A2"/>
    <w:rsid w:val="00F215B9"/>
    <w:rsid w:val="00F24BEE"/>
    <w:rsid w:val="00F25DDE"/>
    <w:rsid w:val="00F26D9B"/>
    <w:rsid w:val="00F30760"/>
    <w:rsid w:val="00F31C88"/>
    <w:rsid w:val="00F31E5C"/>
    <w:rsid w:val="00F322C1"/>
    <w:rsid w:val="00F32C9E"/>
    <w:rsid w:val="00F32CFE"/>
    <w:rsid w:val="00F34ECC"/>
    <w:rsid w:val="00F43D2B"/>
    <w:rsid w:val="00F50828"/>
    <w:rsid w:val="00F518A9"/>
    <w:rsid w:val="00F543A1"/>
    <w:rsid w:val="00F62325"/>
    <w:rsid w:val="00F65482"/>
    <w:rsid w:val="00F66096"/>
    <w:rsid w:val="00F820E5"/>
    <w:rsid w:val="00FA0C03"/>
    <w:rsid w:val="00FA294D"/>
    <w:rsid w:val="00FA5CB8"/>
    <w:rsid w:val="00FB0A40"/>
    <w:rsid w:val="00FB10C2"/>
    <w:rsid w:val="00FB3211"/>
    <w:rsid w:val="00FB3C22"/>
    <w:rsid w:val="00FC1930"/>
    <w:rsid w:val="00FC5C5B"/>
    <w:rsid w:val="00FC6A1B"/>
    <w:rsid w:val="00FD1320"/>
    <w:rsid w:val="00FD7DCE"/>
    <w:rsid w:val="00FE42F4"/>
    <w:rsid w:val="00FE5103"/>
    <w:rsid w:val="00FE5F4F"/>
    <w:rsid w:val="00FF3424"/>
    <w:rsid w:val="00FF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character" w:styleId="Collegamentoipertestuale">
    <w:name w:val="Hyperlink"/>
    <w:semiHidden/>
    <w:rsid w:val="004311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character" w:styleId="Collegamentoipertestuale">
    <w:name w:val="Hyperlink"/>
    <w:semiHidden/>
    <w:rsid w:val="00431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232275295">
      <w:bodyDiv w:val="1"/>
      <w:marLeft w:val="0"/>
      <w:marRight w:val="0"/>
      <w:marTop w:val="0"/>
      <w:marBottom w:val="0"/>
      <w:divBdr>
        <w:top w:val="none" w:sz="0" w:space="0" w:color="auto"/>
        <w:left w:val="none" w:sz="0" w:space="0" w:color="auto"/>
        <w:bottom w:val="none" w:sz="0" w:space="0" w:color="auto"/>
        <w:right w:val="none" w:sz="0" w:space="0" w:color="auto"/>
      </w:divBdr>
    </w:div>
    <w:div w:id="326058172">
      <w:bodyDiv w:val="1"/>
      <w:marLeft w:val="0"/>
      <w:marRight w:val="0"/>
      <w:marTop w:val="0"/>
      <w:marBottom w:val="0"/>
      <w:divBdr>
        <w:top w:val="none" w:sz="0" w:space="0" w:color="auto"/>
        <w:left w:val="none" w:sz="0" w:space="0" w:color="auto"/>
        <w:bottom w:val="none" w:sz="0" w:space="0" w:color="auto"/>
        <w:right w:val="none" w:sz="0" w:space="0" w:color="auto"/>
      </w:divBdr>
    </w:div>
    <w:div w:id="344481130">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21282394">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09708667">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196650688">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285498324">
      <w:bodyDiv w:val="1"/>
      <w:marLeft w:val="0"/>
      <w:marRight w:val="0"/>
      <w:marTop w:val="0"/>
      <w:marBottom w:val="0"/>
      <w:divBdr>
        <w:top w:val="none" w:sz="0" w:space="0" w:color="auto"/>
        <w:left w:val="none" w:sz="0" w:space="0" w:color="auto"/>
        <w:bottom w:val="none" w:sz="0" w:space="0" w:color="auto"/>
        <w:right w:val="none" w:sz="0" w:space="0" w:color="auto"/>
      </w:divBdr>
    </w:div>
    <w:div w:id="1288127185">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418937094">
      <w:bodyDiv w:val="1"/>
      <w:marLeft w:val="0"/>
      <w:marRight w:val="0"/>
      <w:marTop w:val="0"/>
      <w:marBottom w:val="0"/>
      <w:divBdr>
        <w:top w:val="none" w:sz="0" w:space="0" w:color="auto"/>
        <w:left w:val="none" w:sz="0" w:space="0" w:color="auto"/>
        <w:bottom w:val="none" w:sz="0" w:space="0" w:color="auto"/>
        <w:right w:val="none" w:sz="0" w:space="0" w:color="auto"/>
      </w:divBdr>
    </w:div>
    <w:div w:id="1437946046">
      <w:bodyDiv w:val="1"/>
      <w:marLeft w:val="0"/>
      <w:marRight w:val="0"/>
      <w:marTop w:val="0"/>
      <w:marBottom w:val="0"/>
      <w:divBdr>
        <w:top w:val="none" w:sz="0" w:space="0" w:color="auto"/>
        <w:left w:val="none" w:sz="0" w:space="0" w:color="auto"/>
        <w:bottom w:val="none" w:sz="0" w:space="0" w:color="auto"/>
        <w:right w:val="none" w:sz="0" w:space="0" w:color="auto"/>
      </w:divBdr>
    </w:div>
    <w:div w:id="155284139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09577228">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695691154">
      <w:bodyDiv w:val="1"/>
      <w:marLeft w:val="0"/>
      <w:marRight w:val="0"/>
      <w:marTop w:val="0"/>
      <w:marBottom w:val="0"/>
      <w:divBdr>
        <w:top w:val="none" w:sz="0" w:space="0" w:color="auto"/>
        <w:left w:val="none" w:sz="0" w:space="0" w:color="auto"/>
        <w:bottom w:val="none" w:sz="0" w:space="0" w:color="auto"/>
        <w:right w:val="none" w:sz="0" w:space="0" w:color="auto"/>
      </w:divBdr>
    </w:div>
    <w:div w:id="1922909711">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 w:id="2129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1\confcom\comune\studi\QPROCOM\MIC\MIC_2015-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'Figura 1'!$E$1</c:f>
              <c:strCache>
                <c:ptCount val="1"/>
                <c:pt idx="0">
                  <c:v>MIC-DISOCC.</c:v>
                </c:pt>
              </c:strCache>
            </c:strRef>
          </c:tx>
          <c:cat>
            <c:strRef>
              <c:f>'Figura 1'!$C$2:$C$101</c:f>
              <c:strCache>
                <c:ptCount val="100"/>
                <c:pt idx="0">
                  <c:v>2007-1</c:v>
                </c:pt>
                <c:pt idx="12">
                  <c:v>2008-1</c:v>
                </c:pt>
                <c:pt idx="24">
                  <c:v>2009-1</c:v>
                </c:pt>
                <c:pt idx="36">
                  <c:v>2010-1</c:v>
                </c:pt>
                <c:pt idx="48">
                  <c:v>2011-1</c:v>
                </c:pt>
                <c:pt idx="60">
                  <c:v>2012-1</c:v>
                </c:pt>
                <c:pt idx="72">
                  <c:v>2013-1</c:v>
                </c:pt>
                <c:pt idx="84">
                  <c:v>2014-1</c:v>
                </c:pt>
                <c:pt idx="96">
                  <c:v>2015-1</c:v>
                </c:pt>
                <c:pt idx="99">
                  <c:v>2015-4</c:v>
                </c:pt>
              </c:strCache>
            </c:strRef>
          </c:cat>
          <c:val>
            <c:numRef>
              <c:f>'Figura 1'!$E$2:$E$101</c:f>
              <c:numCache>
                <c:formatCode>0.00</c:formatCode>
                <c:ptCount val="100"/>
                <c:pt idx="0">
                  <c:v>10.037746540798963</c:v>
                </c:pt>
                <c:pt idx="1">
                  <c:v>9.6227865072555545</c:v>
                </c:pt>
                <c:pt idx="2">
                  <c:v>9.5961885752214986</c:v>
                </c:pt>
                <c:pt idx="3">
                  <c:v>9.5461819845381655</c:v>
                </c:pt>
                <c:pt idx="4">
                  <c:v>9.8382745218448928</c:v>
                </c:pt>
                <c:pt idx="5">
                  <c:v>9.7615522093494391</c:v>
                </c:pt>
                <c:pt idx="6">
                  <c:v>10.185897643908293</c:v>
                </c:pt>
                <c:pt idx="7">
                  <c:v>10.005442870713757</c:v>
                </c:pt>
                <c:pt idx="8">
                  <c:v>9.9457486136519009</c:v>
                </c:pt>
                <c:pt idx="9">
                  <c:v>10.071862832244902</c:v>
                </c:pt>
                <c:pt idx="10">
                  <c:v>10.020639530450822</c:v>
                </c:pt>
                <c:pt idx="11">
                  <c:v>10.603187632883769</c:v>
                </c:pt>
                <c:pt idx="12">
                  <c:v>10.462913243839408</c:v>
                </c:pt>
                <c:pt idx="13">
                  <c:v>10.579896717155009</c:v>
                </c:pt>
                <c:pt idx="14">
                  <c:v>10.352506384985004</c:v>
                </c:pt>
                <c:pt idx="15">
                  <c:v>10.90708553038224</c:v>
                </c:pt>
                <c:pt idx="16">
                  <c:v>10.911186883301736</c:v>
                </c:pt>
                <c:pt idx="17">
                  <c:v>11.341795154261794</c:v>
                </c:pt>
                <c:pt idx="18">
                  <c:v>10.8957331634805</c:v>
                </c:pt>
                <c:pt idx="19">
                  <c:v>11.300985258425854</c:v>
                </c:pt>
                <c:pt idx="20">
                  <c:v>11.164179319267596</c:v>
                </c:pt>
                <c:pt idx="21">
                  <c:v>11.138708116648329</c:v>
                </c:pt>
                <c:pt idx="22">
                  <c:v>11.369744856280217</c:v>
                </c:pt>
                <c:pt idx="23">
                  <c:v>11.281416695759029</c:v>
                </c:pt>
                <c:pt idx="24">
                  <c:v>11.785757438451615</c:v>
                </c:pt>
                <c:pt idx="25">
                  <c:v>12.314332839468211</c:v>
                </c:pt>
                <c:pt idx="26">
                  <c:v>12.747946787333547</c:v>
                </c:pt>
                <c:pt idx="27">
                  <c:v>13.202251147658863</c:v>
                </c:pt>
                <c:pt idx="28">
                  <c:v>13.07067770721171</c:v>
                </c:pt>
                <c:pt idx="29">
                  <c:v>13.580257979870218</c:v>
                </c:pt>
                <c:pt idx="30">
                  <c:v>13.83976377383636</c:v>
                </c:pt>
                <c:pt idx="31">
                  <c:v>14.046115267562238</c:v>
                </c:pt>
                <c:pt idx="32">
                  <c:v>14.37520539180281</c:v>
                </c:pt>
                <c:pt idx="33">
                  <c:v>14.222300033967676</c:v>
                </c:pt>
                <c:pt idx="34">
                  <c:v>14.35726400828764</c:v>
                </c:pt>
                <c:pt idx="35">
                  <c:v>14.633663204656528</c:v>
                </c:pt>
                <c:pt idx="36">
                  <c:v>14.64034620135685</c:v>
                </c:pt>
                <c:pt idx="37">
                  <c:v>14.856177462917202</c:v>
                </c:pt>
                <c:pt idx="38">
                  <c:v>14.73504156055219</c:v>
                </c:pt>
                <c:pt idx="39">
                  <c:v>14.857804826141559</c:v>
                </c:pt>
                <c:pt idx="40">
                  <c:v>14.831035888556533</c:v>
                </c:pt>
                <c:pt idx="41">
                  <c:v>14.598322871142502</c:v>
                </c:pt>
                <c:pt idx="42">
                  <c:v>14.601757782537385</c:v>
                </c:pt>
                <c:pt idx="43">
                  <c:v>14.420231672461551</c:v>
                </c:pt>
                <c:pt idx="44">
                  <c:v>14.413357223202244</c:v>
                </c:pt>
                <c:pt idx="45">
                  <c:v>14.706394440848463</c:v>
                </c:pt>
                <c:pt idx="46">
                  <c:v>14.239200017359432</c:v>
                </c:pt>
                <c:pt idx="47">
                  <c:v>14.167424514804875</c:v>
                </c:pt>
                <c:pt idx="48">
                  <c:v>14.169905955545856</c:v>
                </c:pt>
                <c:pt idx="49">
                  <c:v>13.870844516851031</c:v>
                </c:pt>
                <c:pt idx="50">
                  <c:v>13.885111704266485</c:v>
                </c:pt>
                <c:pt idx="51">
                  <c:v>13.841500660391068</c:v>
                </c:pt>
                <c:pt idx="52">
                  <c:v>14.249927727964831</c:v>
                </c:pt>
                <c:pt idx="53">
                  <c:v>14.206284641901171</c:v>
                </c:pt>
                <c:pt idx="54">
                  <c:v>14.62807659809263</c:v>
                </c:pt>
                <c:pt idx="55">
                  <c:v>14.841873062650226</c:v>
                </c:pt>
                <c:pt idx="56">
                  <c:v>15.341437758833006</c:v>
                </c:pt>
                <c:pt idx="57">
                  <c:v>15.126115190703784</c:v>
                </c:pt>
                <c:pt idx="58">
                  <c:v>15.857106251114999</c:v>
                </c:pt>
                <c:pt idx="59">
                  <c:v>16.153772727863625</c:v>
                </c:pt>
                <c:pt idx="60">
                  <c:v>16.113821614757242</c:v>
                </c:pt>
                <c:pt idx="61">
                  <c:v>16.725219630117834</c:v>
                </c:pt>
                <c:pt idx="62">
                  <c:v>17.340255267307437</c:v>
                </c:pt>
                <c:pt idx="63">
                  <c:v>17.564979923967314</c:v>
                </c:pt>
                <c:pt idx="64">
                  <c:v>17.40258901116335</c:v>
                </c:pt>
                <c:pt idx="65">
                  <c:v>17.927959557363273</c:v>
                </c:pt>
                <c:pt idx="66">
                  <c:v>17.972303858249777</c:v>
                </c:pt>
                <c:pt idx="67">
                  <c:v>17.851910890416324</c:v>
                </c:pt>
                <c:pt idx="68">
                  <c:v>18.013106222079195</c:v>
                </c:pt>
                <c:pt idx="69">
                  <c:v>18.596770504875614</c:v>
                </c:pt>
                <c:pt idx="70">
                  <c:v>18.587697605699937</c:v>
                </c:pt>
                <c:pt idx="71">
                  <c:v>18.805749259745447</c:v>
                </c:pt>
                <c:pt idx="72">
                  <c:v>19.285296072958378</c:v>
                </c:pt>
                <c:pt idx="73">
                  <c:v>19.356323935223759</c:v>
                </c:pt>
                <c:pt idx="74">
                  <c:v>19.400003606749816</c:v>
                </c:pt>
                <c:pt idx="75">
                  <c:v>19.622285556620422</c:v>
                </c:pt>
                <c:pt idx="76">
                  <c:v>19.896079311230178</c:v>
                </c:pt>
                <c:pt idx="77">
                  <c:v>19.953914796077441</c:v>
                </c:pt>
                <c:pt idx="78">
                  <c:v>19.800394062521665</c:v>
                </c:pt>
                <c:pt idx="79">
                  <c:v>20.221808790725625</c:v>
                </c:pt>
                <c:pt idx="80">
                  <c:v>20.368524023756905</c:v>
                </c:pt>
                <c:pt idx="81">
                  <c:v>20.28461351624583</c:v>
                </c:pt>
                <c:pt idx="82">
                  <c:v>20.409353473098516</c:v>
                </c:pt>
                <c:pt idx="83">
                  <c:v>20.586540144014474</c:v>
                </c:pt>
                <c:pt idx="84">
                  <c:v>20.878183490529604</c:v>
                </c:pt>
                <c:pt idx="85">
                  <c:v>20.789738151005956</c:v>
                </c:pt>
                <c:pt idx="86">
                  <c:v>20.612650357142332</c:v>
                </c:pt>
                <c:pt idx="87">
                  <c:v>20.59785819906589</c:v>
                </c:pt>
                <c:pt idx="88">
                  <c:v>20.625553809619969</c:v>
                </c:pt>
                <c:pt idx="89">
                  <c:v>20.339348452233583</c:v>
                </c:pt>
                <c:pt idx="90">
                  <c:v>20.802929790863985</c:v>
                </c:pt>
                <c:pt idx="91">
                  <c:v>20.555005406557196</c:v>
                </c:pt>
                <c:pt idx="92">
                  <c:v>20.691214605121335</c:v>
                </c:pt>
                <c:pt idx="93">
                  <c:v>20.757699332120342</c:v>
                </c:pt>
                <c:pt idx="94">
                  <c:v>20.934383157394532</c:v>
                </c:pt>
                <c:pt idx="95">
                  <c:v>20.221635737116411</c:v>
                </c:pt>
                <c:pt idx="96">
                  <c:v>20.090934796236013</c:v>
                </c:pt>
                <c:pt idx="97">
                  <c:v>20.18936216357708</c:v>
                </c:pt>
                <c:pt idx="98">
                  <c:v>20.456847415915643</c:v>
                </c:pt>
                <c:pt idx="99">
                  <c:v>20.197162222579696</c:v>
                </c:pt>
              </c:numCache>
            </c:numRef>
          </c:val>
        </c:ser>
        <c:ser>
          <c:idx val="1"/>
          <c:order val="1"/>
          <c:tx>
            <c:strRef>
              <c:f>'Figura 1'!$F$1</c:f>
              <c:strCache>
                <c:ptCount val="1"/>
                <c:pt idx="0">
                  <c:v>MIC-INFL. AF</c:v>
                </c:pt>
              </c:strCache>
            </c:strRef>
          </c:tx>
          <c:cat>
            <c:strRef>
              <c:f>'Figura 1'!$C$2:$C$101</c:f>
              <c:strCache>
                <c:ptCount val="100"/>
                <c:pt idx="0">
                  <c:v>2007-1</c:v>
                </c:pt>
                <c:pt idx="12">
                  <c:v>2008-1</c:v>
                </c:pt>
                <c:pt idx="24">
                  <c:v>2009-1</c:v>
                </c:pt>
                <c:pt idx="36">
                  <c:v>2010-1</c:v>
                </c:pt>
                <c:pt idx="48">
                  <c:v>2011-1</c:v>
                </c:pt>
                <c:pt idx="60">
                  <c:v>2012-1</c:v>
                </c:pt>
                <c:pt idx="72">
                  <c:v>2013-1</c:v>
                </c:pt>
                <c:pt idx="84">
                  <c:v>2014-1</c:v>
                </c:pt>
                <c:pt idx="96">
                  <c:v>2015-1</c:v>
                </c:pt>
                <c:pt idx="99">
                  <c:v>2015-4</c:v>
                </c:pt>
              </c:strCache>
            </c:strRef>
          </c:cat>
          <c:val>
            <c:numRef>
              <c:f>'Figura 1'!$F$2:$F$101</c:f>
              <c:numCache>
                <c:formatCode>0.00</c:formatCode>
                <c:ptCount val="100"/>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pt idx="81">
                  <c:v>0.58823999999999999</c:v>
                </c:pt>
                <c:pt idx="82">
                  <c:v>0.58823999999999999</c:v>
                </c:pt>
                <c:pt idx="83">
                  <c:v>0.88235999999999992</c:v>
                </c:pt>
                <c:pt idx="84">
                  <c:v>0.88235999999999992</c:v>
                </c:pt>
                <c:pt idx="85">
                  <c:v>0.44117999999999996</c:v>
                </c:pt>
                <c:pt idx="86">
                  <c:v>0.29411999999999999</c:v>
                </c:pt>
                <c:pt idx="87">
                  <c:v>0.36764999999999998</c:v>
                </c:pt>
                <c:pt idx="88">
                  <c:v>0.36764999999999998</c:v>
                </c:pt>
                <c:pt idx="89">
                  <c:v>0.22058999999999998</c:v>
                </c:pt>
                <c:pt idx="90">
                  <c:v>0.14706</c:v>
                </c:pt>
                <c:pt idx="91">
                  <c:v>0.14706</c:v>
                </c:pt>
                <c:pt idx="92">
                  <c:v>0</c:v>
                </c:pt>
                <c:pt idx="93">
                  <c:v>7.3529999999999998E-2</c:v>
                </c:pt>
                <c:pt idx="94">
                  <c:v>0.14706</c:v>
                </c:pt>
                <c:pt idx="95">
                  <c:v>-0.36764999999999998</c:v>
                </c:pt>
                <c:pt idx="96">
                  <c:v>-1.0294199999999998</c:v>
                </c:pt>
                <c:pt idx="97">
                  <c:v>-0.36764999999999998</c:v>
                </c:pt>
                <c:pt idx="98">
                  <c:v>0</c:v>
                </c:pt>
                <c:pt idx="99">
                  <c:v>0</c:v>
                </c:pt>
              </c:numCache>
            </c:numRef>
          </c:val>
        </c:ser>
        <c:dLbls>
          <c:showLegendKey val="0"/>
          <c:showVal val="0"/>
          <c:showCatName val="0"/>
          <c:showSerName val="0"/>
          <c:showPercent val="0"/>
          <c:showBubbleSize val="0"/>
        </c:dLbls>
        <c:axId val="84326656"/>
        <c:axId val="84328448"/>
      </c:areaChart>
      <c:catAx>
        <c:axId val="84326656"/>
        <c:scaling>
          <c:orientation val="minMax"/>
        </c:scaling>
        <c:delete val="0"/>
        <c:axPos val="b"/>
        <c:majorTickMark val="none"/>
        <c:minorTickMark val="none"/>
        <c:tickLblPos val="nextTo"/>
        <c:txPr>
          <a:bodyPr rot="-5400000" vert="horz"/>
          <a:lstStyle/>
          <a:p>
            <a:pPr>
              <a:defRPr sz="900"/>
            </a:pPr>
            <a:endParaRPr lang="it-IT"/>
          </a:p>
        </c:txPr>
        <c:crossAx val="84328448"/>
        <c:crosses val="autoZero"/>
        <c:auto val="1"/>
        <c:lblAlgn val="ctr"/>
        <c:lblOffset val="100"/>
        <c:tickLblSkip val="1"/>
        <c:tickMarkSkip val="1"/>
        <c:noMultiLvlLbl val="0"/>
      </c:catAx>
      <c:valAx>
        <c:axId val="84328448"/>
        <c:scaling>
          <c:orientation val="minMax"/>
          <c:max val="23"/>
          <c:min val="0"/>
        </c:scaling>
        <c:delete val="0"/>
        <c:axPos val="l"/>
        <c:numFmt formatCode="0.0" sourceLinked="0"/>
        <c:majorTickMark val="none"/>
        <c:minorTickMark val="none"/>
        <c:tickLblPos val="nextTo"/>
        <c:crossAx val="84326656"/>
        <c:crosses val="autoZero"/>
        <c:crossBetween val="midCat"/>
      </c:valAx>
    </c:plotArea>
    <c:legend>
      <c:legendPos val="b"/>
      <c:layout/>
      <c:overlay val="0"/>
      <c:txPr>
        <a:bodyPr/>
        <a:lstStyle/>
        <a:p>
          <a:pPr>
            <a:defRPr b="1"/>
          </a:pPr>
          <a:endParaRPr lang="it-IT"/>
        </a:p>
      </c:txPr>
    </c:legend>
    <c:plotVisOnly val="1"/>
    <c:dispBlanksAs val="zero"/>
    <c:showDLblsOverMax val="0"/>
  </c:chart>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9501-A125-4338-AED2-4265C94D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Giugno 2015, n. 26                                                           Ufficio Studi Confcommercio - Imprese per l’Italia</vt:lpstr>
    </vt:vector>
  </TitlesOfParts>
  <Company>CONFCOMMERCIO</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Giugno 2015, n. 26                                                           Ufficio Studi Confcommercio - Imprese per l’Italia</dc:title>
  <dc:creator>Stage08</dc:creator>
  <cp:lastModifiedBy>moretti</cp:lastModifiedBy>
  <cp:revision>2</cp:revision>
  <cp:lastPrinted>2015-06-09T09:51:00Z</cp:lastPrinted>
  <dcterms:created xsi:type="dcterms:W3CDTF">2015-06-10T07:25:00Z</dcterms:created>
  <dcterms:modified xsi:type="dcterms:W3CDTF">2015-06-10T07:25:00Z</dcterms:modified>
</cp:coreProperties>
</file>