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2B" w:rsidRDefault="007B372B" w:rsidP="00084E5C">
      <w:pPr>
        <w:pStyle w:val="TABTitolo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B372B" w:rsidRDefault="007B372B" w:rsidP="001B6A78">
      <w:pPr>
        <w:pStyle w:val="TABTitolo"/>
        <w:rPr>
          <w:rFonts w:ascii="Verdana" w:hAnsi="Verdana"/>
          <w:sz w:val="20"/>
          <w:szCs w:val="20"/>
        </w:rPr>
      </w:pPr>
    </w:p>
    <w:p w:rsidR="001B6A78" w:rsidRPr="009969C0" w:rsidRDefault="001B6A78" w:rsidP="001B6A78">
      <w:pPr>
        <w:pStyle w:val="TABTitolo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>Il traffico merci in Italia</w:t>
      </w:r>
    </w:p>
    <w:p w:rsidR="001B6A78" w:rsidRPr="00F0252E" w:rsidRDefault="00B85A90" w:rsidP="001B6A78">
      <w:pPr>
        <w:pStyle w:val="TABSottotitolo"/>
        <w:rPr>
          <w:rFonts w:ascii="Verdana" w:hAnsi="Verdana"/>
          <w:i/>
          <w:sz w:val="16"/>
          <w:szCs w:val="16"/>
        </w:rPr>
      </w:pPr>
      <w:proofErr w:type="gramStart"/>
      <w:r w:rsidRPr="00F0252E">
        <w:rPr>
          <w:rFonts w:ascii="Verdana" w:hAnsi="Verdana"/>
          <w:i/>
          <w:sz w:val="16"/>
          <w:szCs w:val="16"/>
        </w:rPr>
        <w:t>livelli</w:t>
      </w:r>
      <w:proofErr w:type="gramEnd"/>
      <w:r w:rsidRPr="00F0252E">
        <w:rPr>
          <w:rFonts w:ascii="Verdana" w:hAnsi="Verdana"/>
          <w:i/>
          <w:sz w:val="16"/>
          <w:szCs w:val="16"/>
        </w:rPr>
        <w:t xml:space="preserve"> in miliardi di t-km,</w:t>
      </w:r>
      <w:r w:rsidR="001B6A78" w:rsidRPr="00F0252E">
        <w:rPr>
          <w:rFonts w:ascii="Verdana" w:hAnsi="Verdana"/>
          <w:i/>
          <w:sz w:val="16"/>
          <w:szCs w:val="16"/>
        </w:rPr>
        <w:t>indici 2003=100 del PIL e del v.a. d</w:t>
      </w:r>
      <w:r w:rsidRPr="00F0252E">
        <w:rPr>
          <w:rFonts w:ascii="Verdana" w:hAnsi="Verdana"/>
          <w:i/>
          <w:sz w:val="16"/>
          <w:szCs w:val="16"/>
        </w:rPr>
        <w:t xml:space="preserve">ell’industria in termini reali </w:t>
      </w:r>
      <w:r w:rsidR="001B6A78" w:rsidRPr="00F0252E">
        <w:rPr>
          <w:rFonts w:ascii="Verdana" w:hAnsi="Verdana"/>
          <w:i/>
          <w:sz w:val="16"/>
          <w:szCs w:val="16"/>
        </w:rPr>
        <w:t>e quote modali %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59"/>
        <w:gridCol w:w="140"/>
        <w:gridCol w:w="682"/>
        <w:gridCol w:w="168"/>
        <w:gridCol w:w="723"/>
        <w:gridCol w:w="890"/>
        <w:gridCol w:w="890"/>
        <w:gridCol w:w="1069"/>
        <w:gridCol w:w="1009"/>
        <w:gridCol w:w="1941"/>
      </w:tblGrid>
      <w:tr w:rsidR="001B6A78" w:rsidRPr="009969C0" w:rsidTr="00406B6D">
        <w:trPr>
          <w:trHeight w:val="62"/>
          <w:tblHeader/>
          <w:jc w:val="center"/>
        </w:trPr>
        <w:tc>
          <w:tcPr>
            <w:tcW w:w="890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406B6D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1B6A78" w:rsidRPr="009969C0">
              <w:rPr>
                <w:rFonts w:ascii="Verdana" w:hAnsi="Verdana"/>
                <w:sz w:val="20"/>
                <w:szCs w:val="20"/>
              </w:rPr>
              <w:t>omma</w:t>
            </w:r>
          </w:p>
        </w:tc>
        <w:tc>
          <w:tcPr>
            <w:tcW w:w="850" w:type="dxa"/>
            <w:gridSpan w:val="2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406B6D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1B6A78" w:rsidRPr="009969C0">
              <w:rPr>
                <w:rFonts w:ascii="Verdana" w:hAnsi="Verdana"/>
                <w:sz w:val="20"/>
                <w:szCs w:val="20"/>
              </w:rPr>
              <w:t>erro</w:t>
            </w:r>
          </w:p>
        </w:tc>
        <w:tc>
          <w:tcPr>
            <w:tcW w:w="723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406B6D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B6A78" w:rsidRPr="009969C0">
              <w:rPr>
                <w:rFonts w:ascii="Verdana" w:hAnsi="Verdana"/>
                <w:sz w:val="20"/>
                <w:szCs w:val="20"/>
              </w:rPr>
              <w:t>are</w:t>
            </w:r>
          </w:p>
        </w:tc>
        <w:tc>
          <w:tcPr>
            <w:tcW w:w="890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406B6D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1B6A78" w:rsidRPr="009969C0">
              <w:rPr>
                <w:rFonts w:ascii="Verdana" w:hAnsi="Verdana"/>
                <w:sz w:val="20"/>
                <w:szCs w:val="20"/>
              </w:rPr>
              <w:t>ereo</w:t>
            </w:r>
          </w:p>
        </w:tc>
        <w:tc>
          <w:tcPr>
            <w:tcW w:w="890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406B6D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1B6A78" w:rsidRPr="009969C0">
              <w:rPr>
                <w:rFonts w:ascii="Verdana" w:hAnsi="Verdana"/>
                <w:sz w:val="20"/>
                <w:szCs w:val="20"/>
              </w:rPr>
              <w:t>otale</w:t>
            </w:r>
          </w:p>
        </w:tc>
        <w:tc>
          <w:tcPr>
            <w:tcW w:w="1069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B85A90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969C0">
              <w:rPr>
                <w:rFonts w:ascii="Verdana" w:hAnsi="Verdana"/>
                <w:sz w:val="20"/>
                <w:szCs w:val="20"/>
              </w:rPr>
              <w:t>indice</w:t>
            </w:r>
            <w:proofErr w:type="gramEnd"/>
            <w:r w:rsidRPr="009969C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6A78" w:rsidRPr="009969C0">
              <w:rPr>
                <w:rFonts w:ascii="Verdana" w:hAnsi="Verdana"/>
                <w:sz w:val="20"/>
                <w:szCs w:val="20"/>
              </w:rPr>
              <w:t>t-km totali</w:t>
            </w:r>
          </w:p>
        </w:tc>
        <w:tc>
          <w:tcPr>
            <w:tcW w:w="1009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969C0">
              <w:rPr>
                <w:rFonts w:ascii="Verdana" w:hAnsi="Verdana"/>
                <w:sz w:val="20"/>
                <w:szCs w:val="20"/>
              </w:rPr>
              <w:t>indice</w:t>
            </w:r>
            <w:proofErr w:type="gramEnd"/>
            <w:r w:rsidRPr="009969C0">
              <w:rPr>
                <w:rFonts w:ascii="Verdana" w:hAnsi="Verdana"/>
                <w:sz w:val="20"/>
                <w:szCs w:val="20"/>
              </w:rPr>
              <w:t xml:space="preserve"> del PIL</w:t>
            </w:r>
          </w:p>
        </w:tc>
        <w:tc>
          <w:tcPr>
            <w:tcW w:w="1941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Head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969C0">
              <w:rPr>
                <w:rFonts w:ascii="Verdana" w:hAnsi="Verdana"/>
                <w:sz w:val="20"/>
                <w:szCs w:val="20"/>
              </w:rPr>
              <w:t>indice</w:t>
            </w:r>
            <w:proofErr w:type="gramEnd"/>
            <w:r w:rsidRPr="009969C0">
              <w:rPr>
                <w:rFonts w:ascii="Verdana" w:hAnsi="Verdana"/>
                <w:sz w:val="20"/>
                <w:szCs w:val="20"/>
              </w:rPr>
              <w:t xml:space="preserve"> del valore aggiunto dell’industria</w:t>
            </w: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sx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95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203,3</w:t>
            </w:r>
          </w:p>
        </w:tc>
        <w:tc>
          <w:tcPr>
            <w:tcW w:w="822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20,4</w:t>
            </w:r>
          </w:p>
        </w:tc>
        <w:tc>
          <w:tcPr>
            <w:tcW w:w="891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276,6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0,26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500,5</w:t>
            </w:r>
          </w:p>
        </w:tc>
        <w:tc>
          <w:tcPr>
            <w:tcW w:w="106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100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194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sx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95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242,9</w:t>
            </w:r>
          </w:p>
        </w:tc>
        <w:tc>
          <w:tcPr>
            <w:tcW w:w="822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22,7</w:t>
            </w:r>
          </w:p>
        </w:tc>
        <w:tc>
          <w:tcPr>
            <w:tcW w:w="891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288,9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0,27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554,7</w:t>
            </w:r>
          </w:p>
        </w:tc>
        <w:tc>
          <w:tcPr>
            <w:tcW w:w="106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110,8</w:t>
            </w:r>
          </w:p>
        </w:tc>
        <w:tc>
          <w:tcPr>
            <w:tcW w:w="100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102,5</w:t>
            </w:r>
          </w:p>
        </w:tc>
        <w:tc>
          <w:tcPr>
            <w:tcW w:w="194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103,0</w:t>
            </w: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sx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95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222,6</w:t>
            </w:r>
          </w:p>
        </w:tc>
        <w:tc>
          <w:tcPr>
            <w:tcW w:w="822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16,3</w:t>
            </w:r>
          </w:p>
        </w:tc>
        <w:tc>
          <w:tcPr>
            <w:tcW w:w="891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301,1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0,29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540,3</w:t>
            </w:r>
          </w:p>
        </w:tc>
        <w:tc>
          <w:tcPr>
            <w:tcW w:w="106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108,0</w:t>
            </w:r>
          </w:p>
        </w:tc>
        <w:tc>
          <w:tcPr>
            <w:tcW w:w="100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105,0</w:t>
            </w:r>
          </w:p>
        </w:tc>
        <w:tc>
          <w:tcPr>
            <w:tcW w:w="194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105,9</w:t>
            </w: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sx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95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160,1</w:t>
            </w:r>
          </w:p>
        </w:tc>
        <w:tc>
          <w:tcPr>
            <w:tcW w:w="822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20,2</w:t>
            </w:r>
          </w:p>
        </w:tc>
        <w:tc>
          <w:tcPr>
            <w:tcW w:w="891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232,5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0,29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413,1</w:t>
            </w:r>
          </w:p>
        </w:tc>
        <w:tc>
          <w:tcPr>
            <w:tcW w:w="106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82,5</w:t>
            </w:r>
          </w:p>
        </w:tc>
        <w:tc>
          <w:tcPr>
            <w:tcW w:w="100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97,1</w:t>
            </w:r>
          </w:p>
        </w:tc>
        <w:tc>
          <w:tcPr>
            <w:tcW w:w="194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87,2</w:t>
            </w: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sx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95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161,2</w:t>
            </w:r>
          </w:p>
        </w:tc>
        <w:tc>
          <w:tcPr>
            <w:tcW w:w="822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20,8</w:t>
            </w:r>
          </w:p>
        </w:tc>
        <w:tc>
          <w:tcPr>
            <w:tcW w:w="891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254,2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0,30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436,5</w:t>
            </w:r>
          </w:p>
        </w:tc>
        <w:tc>
          <w:tcPr>
            <w:tcW w:w="106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87,2</w:t>
            </w:r>
          </w:p>
        </w:tc>
        <w:tc>
          <w:tcPr>
            <w:tcW w:w="100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98,1</w:t>
            </w:r>
          </w:p>
        </w:tc>
        <w:tc>
          <w:tcPr>
            <w:tcW w:w="194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88,6</w:t>
            </w: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sx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95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164,0</w:t>
            </w:r>
          </w:p>
        </w:tc>
        <w:tc>
          <w:tcPr>
            <w:tcW w:w="822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21,1</w:t>
            </w:r>
          </w:p>
        </w:tc>
        <w:tc>
          <w:tcPr>
            <w:tcW w:w="891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254,3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0,31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439,6</w:t>
            </w:r>
          </w:p>
        </w:tc>
        <w:tc>
          <w:tcPr>
            <w:tcW w:w="106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87,8</w:t>
            </w:r>
          </w:p>
        </w:tc>
        <w:tc>
          <w:tcPr>
            <w:tcW w:w="100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98,9</w:t>
            </w:r>
          </w:p>
        </w:tc>
        <w:tc>
          <w:tcPr>
            <w:tcW w:w="194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89,5</w:t>
            </w: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sx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95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165,2</w:t>
            </w:r>
          </w:p>
        </w:tc>
        <w:tc>
          <w:tcPr>
            <w:tcW w:w="822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21,6</w:t>
            </w:r>
          </w:p>
        </w:tc>
        <w:tc>
          <w:tcPr>
            <w:tcW w:w="891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257,5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0,33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444,6</w:t>
            </w:r>
          </w:p>
        </w:tc>
        <w:tc>
          <w:tcPr>
            <w:tcW w:w="106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88,8</w:t>
            </w:r>
          </w:p>
        </w:tc>
        <w:tc>
          <w:tcPr>
            <w:tcW w:w="100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100,2</w:t>
            </w:r>
          </w:p>
        </w:tc>
        <w:tc>
          <w:tcPr>
            <w:tcW w:w="1941" w:type="dxa"/>
            <w:vMerge w:val="restart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6" w:spac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 </w:t>
            </w:r>
          </w:p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sx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167,5</w:t>
            </w:r>
          </w:p>
        </w:tc>
        <w:tc>
          <w:tcPr>
            <w:tcW w:w="822" w:type="dxa"/>
            <w:gridSpan w:val="2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22,0</w:t>
            </w:r>
          </w:p>
        </w:tc>
        <w:tc>
          <w:tcPr>
            <w:tcW w:w="891" w:type="dxa"/>
            <w:gridSpan w:val="2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258,5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0,34</w:t>
            </w:r>
          </w:p>
        </w:tc>
        <w:tc>
          <w:tcPr>
            <w:tcW w:w="890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448,3</w:t>
            </w:r>
          </w:p>
        </w:tc>
        <w:tc>
          <w:tcPr>
            <w:tcW w:w="106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89,6</w:t>
            </w:r>
          </w:p>
        </w:tc>
        <w:tc>
          <w:tcPr>
            <w:tcW w:w="100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AppTestocentro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z w:val="20"/>
                <w:szCs w:val="20"/>
              </w:rPr>
              <w:t>101,4</w:t>
            </w:r>
          </w:p>
        </w:tc>
        <w:tc>
          <w:tcPr>
            <w:tcW w:w="1941" w:type="dxa"/>
            <w:vMerge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6" w:space="0" w:color="auto"/>
            </w:tcBorders>
          </w:tcPr>
          <w:p w:rsidR="001B6A78" w:rsidRPr="009969C0" w:rsidRDefault="001B6A78" w:rsidP="008B5D9C">
            <w:pPr>
              <w:pStyle w:val="Nessunostileparagrafo"/>
              <w:spacing w:line="240" w:lineRule="auto"/>
              <w:textAlignment w:val="auto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</w:tc>
      </w:tr>
      <w:tr w:rsidR="001B6A78" w:rsidRPr="009969C0" w:rsidTr="00406B6D">
        <w:trPr>
          <w:trHeight w:val="62"/>
          <w:jc w:val="center"/>
        </w:trPr>
        <w:tc>
          <w:tcPr>
            <w:tcW w:w="9361" w:type="dxa"/>
            <w:gridSpan w:val="11"/>
            <w:tcBorders>
              <w:top w:val="single" w:sz="6" w:space="0" w:color="00447C"/>
              <w:left w:val="single" w:sz="6" w:space="0" w:color="00447C"/>
              <w:bottom w:val="single" w:sz="6" w:space="0" w:color="00447C"/>
              <w:right w:val="single" w:sz="6" w:space="0" w:color="00447C"/>
            </w:tcBorders>
            <w:tcMar>
              <w:top w:w="105" w:type="dxa"/>
              <w:left w:w="57" w:type="dxa"/>
              <w:bottom w:w="57" w:type="dxa"/>
              <w:right w:w="57" w:type="dxa"/>
            </w:tcMar>
            <w:vAlign w:val="center"/>
          </w:tcPr>
          <w:p w:rsidR="001B6A78" w:rsidRPr="009969C0" w:rsidRDefault="001B6A78" w:rsidP="008B5D9C">
            <w:pPr>
              <w:pStyle w:val="TABFonte"/>
              <w:rPr>
                <w:rFonts w:ascii="Verdana" w:hAnsi="Verdana"/>
                <w:sz w:val="20"/>
                <w:szCs w:val="20"/>
              </w:rPr>
            </w:pPr>
            <w:r w:rsidRPr="009969C0">
              <w:rPr>
                <w:rFonts w:ascii="Verdana" w:hAnsi="Verdana"/>
                <w:spacing w:val="-2"/>
                <w:sz w:val="20"/>
                <w:szCs w:val="20"/>
              </w:rPr>
              <w:t>Elaborazioni stime e previsioni Ufficio Studi Confcommercio su dati Eurostat, Istat, Conto Nazionale delle Infrastrutture e dei Trasporti.</w:t>
            </w:r>
          </w:p>
        </w:tc>
      </w:tr>
    </w:tbl>
    <w:p w:rsidR="009B12AB" w:rsidRPr="009969C0" w:rsidRDefault="009B12AB" w:rsidP="00436509">
      <w:pPr>
        <w:spacing w:after="0"/>
        <w:jc w:val="both"/>
        <w:rPr>
          <w:rFonts w:ascii="Verdana" w:hAnsi="Verdana"/>
          <w:sz w:val="20"/>
          <w:szCs w:val="20"/>
        </w:rPr>
      </w:pPr>
    </w:p>
    <w:p w:rsidR="001B6A78" w:rsidRPr="009969C0" w:rsidRDefault="001B6A78" w:rsidP="001B6A78">
      <w:pPr>
        <w:widowControl w:val="0"/>
        <w:suppressAutoHyphens/>
        <w:autoSpaceDE w:val="0"/>
        <w:autoSpaceDN w:val="0"/>
        <w:adjustRightInd w:val="0"/>
        <w:spacing w:before="227" w:after="57" w:line="288" w:lineRule="auto"/>
        <w:jc w:val="center"/>
        <w:textAlignment w:val="center"/>
        <w:rPr>
          <w:rFonts w:ascii="Verdana" w:hAnsi="Verdana" w:cs="FrutigerLTStd-BoldCn"/>
          <w:b/>
          <w:bCs/>
          <w:color w:val="00447C"/>
          <w:sz w:val="20"/>
          <w:szCs w:val="20"/>
        </w:rPr>
      </w:pPr>
      <w:r w:rsidRPr="009969C0">
        <w:rPr>
          <w:rFonts w:ascii="Verdana" w:hAnsi="Verdana" w:cs="FrutigerLTStd-BoldCn"/>
          <w:b/>
          <w:bCs/>
          <w:color w:val="00447C"/>
          <w:sz w:val="20"/>
          <w:szCs w:val="20"/>
        </w:rPr>
        <w:t>Il traffico merci per modalità di trasporto</w:t>
      </w:r>
    </w:p>
    <w:p w:rsidR="001B6A78" w:rsidRPr="009969C0" w:rsidRDefault="001B6A78" w:rsidP="001B6A78">
      <w:pPr>
        <w:widowControl w:val="0"/>
        <w:suppressAutoHyphens/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Verdana" w:hAnsi="Verdana" w:cs="FrutigerLTStd-Cn"/>
          <w:b/>
          <w:bCs/>
          <w:color w:val="00447C"/>
          <w:sz w:val="20"/>
          <w:szCs w:val="20"/>
        </w:rPr>
      </w:pPr>
      <w:proofErr w:type="gramStart"/>
      <w:r w:rsidRPr="009969C0">
        <w:rPr>
          <w:rFonts w:ascii="Verdana" w:hAnsi="Verdana" w:cs="FrutigerLTStd-Cn"/>
          <w:b/>
          <w:bCs/>
          <w:color w:val="00447C"/>
          <w:sz w:val="20"/>
          <w:szCs w:val="20"/>
        </w:rPr>
        <w:t>quote</w:t>
      </w:r>
      <w:proofErr w:type="gramEnd"/>
      <w:r w:rsidRPr="009969C0">
        <w:rPr>
          <w:rFonts w:ascii="Verdana" w:hAnsi="Verdana" w:cs="FrutigerLTStd-Cn"/>
          <w:b/>
          <w:bCs/>
          <w:color w:val="00447C"/>
          <w:sz w:val="20"/>
          <w:szCs w:val="20"/>
        </w:rPr>
        <w:t>, variazioni medie annue % e variazioni %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304"/>
        <w:gridCol w:w="1191"/>
        <w:gridCol w:w="1190"/>
        <w:gridCol w:w="1191"/>
        <w:gridCol w:w="1190"/>
        <w:gridCol w:w="1191"/>
      </w:tblGrid>
      <w:tr w:rsidR="001B6A78" w:rsidRPr="009969C0" w:rsidTr="00F24527">
        <w:trPr>
          <w:trHeight w:val="60"/>
          <w:tblHeader/>
          <w:jc w:val="center"/>
        </w:trPr>
        <w:tc>
          <w:tcPr>
            <w:tcW w:w="1417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Gomma</w:t>
            </w:r>
          </w:p>
        </w:tc>
        <w:tc>
          <w:tcPr>
            <w:tcW w:w="1190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Ferro</w:t>
            </w:r>
          </w:p>
        </w:tc>
        <w:tc>
          <w:tcPr>
            <w:tcW w:w="1191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Mare</w:t>
            </w:r>
          </w:p>
        </w:tc>
        <w:tc>
          <w:tcPr>
            <w:tcW w:w="1190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Aereo</w:t>
            </w:r>
          </w:p>
        </w:tc>
        <w:tc>
          <w:tcPr>
            <w:tcW w:w="1191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Totale</w:t>
            </w:r>
          </w:p>
        </w:tc>
      </w:tr>
      <w:tr w:rsidR="001B6A78" w:rsidRPr="009969C0" w:rsidTr="00F24527">
        <w:trPr>
          <w:trHeight w:val="60"/>
          <w:jc w:val="center"/>
        </w:trPr>
        <w:tc>
          <w:tcPr>
            <w:tcW w:w="1417" w:type="dxa"/>
            <w:vMerge w:val="restart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quota</w:t>
            </w:r>
            <w:proofErr w:type="gramEnd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304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100,0</w:t>
            </w:r>
          </w:p>
        </w:tc>
      </w:tr>
      <w:tr w:rsidR="001B6A78" w:rsidRPr="009969C0" w:rsidTr="00F24527">
        <w:trPr>
          <w:trHeight w:val="60"/>
          <w:jc w:val="center"/>
        </w:trPr>
        <w:tc>
          <w:tcPr>
            <w:tcW w:w="1417" w:type="dxa"/>
            <w:vMerge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100,0</w:t>
            </w:r>
          </w:p>
        </w:tc>
      </w:tr>
      <w:tr w:rsidR="001B6A78" w:rsidRPr="009969C0" w:rsidTr="00F24527">
        <w:trPr>
          <w:trHeight w:val="60"/>
          <w:jc w:val="center"/>
        </w:trPr>
        <w:tc>
          <w:tcPr>
            <w:tcW w:w="1417" w:type="dxa"/>
            <w:vMerge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100,0</w:t>
            </w:r>
          </w:p>
        </w:tc>
      </w:tr>
      <w:tr w:rsidR="001B6A78" w:rsidRPr="009969C0" w:rsidTr="00F24527">
        <w:trPr>
          <w:trHeight w:val="60"/>
          <w:jc w:val="center"/>
        </w:trPr>
        <w:tc>
          <w:tcPr>
            <w:tcW w:w="1417" w:type="dxa"/>
            <w:vMerge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100,0</w:t>
            </w:r>
          </w:p>
        </w:tc>
      </w:tr>
      <w:tr w:rsidR="001B6A78" w:rsidRPr="009969C0" w:rsidTr="00F24527">
        <w:trPr>
          <w:trHeight w:val="60"/>
          <w:jc w:val="center"/>
        </w:trPr>
        <w:tc>
          <w:tcPr>
            <w:tcW w:w="1417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v.m.a</w:t>
            </w:r>
            <w:proofErr w:type="spellEnd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. %</w:t>
            </w:r>
          </w:p>
        </w:tc>
        <w:tc>
          <w:tcPr>
            <w:tcW w:w="1304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2004-15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-1,1</w:t>
            </w:r>
          </w:p>
        </w:tc>
      </w:tr>
      <w:tr w:rsidR="001B6A78" w:rsidRPr="009969C0" w:rsidTr="00F24527">
        <w:trPr>
          <w:trHeight w:val="60"/>
          <w:jc w:val="center"/>
        </w:trPr>
        <w:tc>
          <w:tcPr>
            <w:tcW w:w="1417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var</w:t>
            </w:r>
            <w:proofErr w:type="gramEnd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. %</w:t>
            </w:r>
          </w:p>
        </w:tc>
        <w:tc>
          <w:tcPr>
            <w:tcW w:w="1304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9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9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5,7</w:t>
            </w:r>
          </w:p>
        </w:tc>
      </w:tr>
      <w:tr w:rsidR="001B6A78" w:rsidRPr="009969C0" w:rsidTr="00F24527">
        <w:trPr>
          <w:trHeight w:val="60"/>
          <w:jc w:val="center"/>
        </w:trPr>
        <w:tc>
          <w:tcPr>
            <w:tcW w:w="8674" w:type="dxa"/>
            <w:gridSpan w:val="7"/>
            <w:tcBorders>
              <w:top w:val="single" w:sz="6" w:space="0" w:color="00447C"/>
              <w:left w:val="single" w:sz="6" w:space="0" w:color="00447C"/>
              <w:bottom w:val="single" w:sz="6" w:space="0" w:color="00447C"/>
              <w:right w:val="single" w:sz="6" w:space="0" w:color="00447C"/>
            </w:tcBorders>
            <w:tcMar>
              <w:top w:w="105" w:type="dxa"/>
              <w:left w:w="57" w:type="dxa"/>
              <w:bottom w:w="57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57"/>
              <w:jc w:val="both"/>
              <w:textAlignment w:val="center"/>
              <w:rPr>
                <w:rFonts w:ascii="Verdana" w:hAnsi="Verdana" w:cs="FrutigerLTStd-LightCn"/>
                <w:color w:val="00447C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447C"/>
                <w:sz w:val="20"/>
                <w:szCs w:val="20"/>
              </w:rPr>
              <w:t>Elaborazioni Ufficio Studi Confcommercio su dati Eurostat, Istat, Conto Nazionale delle Infrastrutture e dei Trasporti.</w:t>
            </w:r>
          </w:p>
        </w:tc>
      </w:tr>
    </w:tbl>
    <w:p w:rsidR="00121894" w:rsidRPr="009969C0" w:rsidRDefault="00121894" w:rsidP="00121894">
      <w:pPr>
        <w:rPr>
          <w:rFonts w:ascii="Verdana" w:hAnsi="Verdana"/>
          <w:b/>
          <w:sz w:val="20"/>
          <w:szCs w:val="20"/>
          <w:u w:val="single"/>
        </w:rPr>
      </w:pPr>
    </w:p>
    <w:p w:rsidR="00F0252E" w:rsidRDefault="00F0252E" w:rsidP="008544DF">
      <w:pPr>
        <w:spacing w:after="0"/>
        <w:rPr>
          <w:rFonts w:ascii="Verdana" w:hAnsi="Verdana"/>
          <w:b/>
          <w:sz w:val="20"/>
          <w:szCs w:val="20"/>
        </w:rPr>
      </w:pPr>
    </w:p>
    <w:p w:rsidR="007B372B" w:rsidRDefault="007B372B" w:rsidP="008544DF">
      <w:pPr>
        <w:spacing w:after="0"/>
        <w:rPr>
          <w:rFonts w:ascii="Verdana" w:hAnsi="Verdana"/>
          <w:b/>
          <w:sz w:val="20"/>
          <w:szCs w:val="20"/>
        </w:rPr>
      </w:pPr>
    </w:p>
    <w:p w:rsidR="007B372B" w:rsidRDefault="00F131E8" w:rsidP="008544DF">
      <w:pPr>
        <w:spacing w:after="0"/>
        <w:rPr>
          <w:rFonts w:ascii="Verdana" w:hAnsi="Verdana"/>
          <w:b/>
          <w:sz w:val="20"/>
          <w:szCs w:val="20"/>
        </w:rPr>
      </w:pPr>
      <w:r w:rsidRPr="009969C0">
        <w:rPr>
          <w:rFonts w:ascii="Verdana" w:hAnsi="Verdana"/>
          <w:b/>
          <w:sz w:val="20"/>
          <w:szCs w:val="20"/>
        </w:rPr>
        <w:t xml:space="preserve">AUTOTRASPORTO, </w:t>
      </w:r>
      <w:r w:rsidR="003C6FB4" w:rsidRPr="009969C0">
        <w:rPr>
          <w:rFonts w:ascii="Verdana" w:hAnsi="Verdana"/>
          <w:b/>
          <w:sz w:val="20"/>
          <w:szCs w:val="20"/>
        </w:rPr>
        <w:t>L’AVANZATA DEI P</w:t>
      </w:r>
      <w:r w:rsidR="007B372B">
        <w:rPr>
          <w:rFonts w:ascii="Verdana" w:hAnsi="Verdana"/>
          <w:b/>
          <w:sz w:val="20"/>
          <w:szCs w:val="20"/>
        </w:rPr>
        <w:t>AESI DELL’EST</w:t>
      </w:r>
    </w:p>
    <w:p w:rsidR="005F6A57" w:rsidRPr="009969C0" w:rsidRDefault="007B372B" w:rsidP="008544D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COLONIZZAZIONE E </w:t>
      </w:r>
      <w:r w:rsidR="003C6FB4" w:rsidRPr="009969C0">
        <w:rPr>
          <w:rFonts w:ascii="Verdana" w:hAnsi="Verdana"/>
          <w:b/>
          <w:sz w:val="20"/>
          <w:szCs w:val="20"/>
        </w:rPr>
        <w:t>DELOCALIZZAZIONE</w:t>
      </w:r>
      <w:r w:rsidR="005F6A57" w:rsidRPr="009969C0">
        <w:rPr>
          <w:rFonts w:ascii="Verdana" w:hAnsi="Verdana"/>
          <w:b/>
          <w:sz w:val="20"/>
          <w:szCs w:val="20"/>
        </w:rPr>
        <w:t xml:space="preserve"> </w:t>
      </w:r>
    </w:p>
    <w:p w:rsidR="007B372B" w:rsidRDefault="007B372B" w:rsidP="00AE0CC2">
      <w:pPr>
        <w:spacing w:after="0"/>
        <w:jc w:val="both"/>
        <w:rPr>
          <w:rFonts w:ascii="Verdana" w:hAnsi="Verdana"/>
          <w:sz w:val="20"/>
          <w:szCs w:val="20"/>
        </w:rPr>
      </w:pPr>
    </w:p>
    <w:p w:rsidR="009F06DA" w:rsidRPr="009969C0" w:rsidRDefault="00DB2115" w:rsidP="007B372B">
      <w:pPr>
        <w:spacing w:after="0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 xml:space="preserve">Quello dei trasporti in Italia è un </w:t>
      </w:r>
      <w:r w:rsidRPr="00406B6D">
        <w:rPr>
          <w:rFonts w:ascii="Verdana" w:hAnsi="Verdana"/>
          <w:sz w:val="20"/>
          <w:szCs w:val="20"/>
        </w:rPr>
        <w:t>sistema complessivamente sano</w:t>
      </w:r>
      <w:r w:rsidR="002D716A" w:rsidRPr="009969C0">
        <w:rPr>
          <w:rFonts w:ascii="Verdana" w:hAnsi="Verdana"/>
          <w:sz w:val="20"/>
          <w:szCs w:val="20"/>
        </w:rPr>
        <w:t xml:space="preserve">, aperto, in cui </w:t>
      </w:r>
      <w:r w:rsidRPr="009969C0">
        <w:rPr>
          <w:rFonts w:ascii="Verdana" w:hAnsi="Verdana"/>
          <w:sz w:val="20"/>
          <w:szCs w:val="20"/>
        </w:rPr>
        <w:t>a</w:t>
      </w:r>
      <w:r w:rsidR="002D716A" w:rsidRPr="009969C0">
        <w:rPr>
          <w:rFonts w:ascii="Verdana" w:hAnsi="Verdana"/>
          <w:sz w:val="20"/>
          <w:szCs w:val="20"/>
        </w:rPr>
        <w:t xml:space="preserve">giscono operatori </w:t>
      </w:r>
      <w:r w:rsidRPr="009969C0">
        <w:rPr>
          <w:rFonts w:ascii="Verdana" w:hAnsi="Verdana"/>
          <w:sz w:val="20"/>
          <w:szCs w:val="20"/>
        </w:rPr>
        <w:t>nazionali ed esteri</w:t>
      </w:r>
      <w:r w:rsidR="002345D6" w:rsidRPr="009969C0">
        <w:rPr>
          <w:rFonts w:ascii="Verdana" w:hAnsi="Verdana"/>
          <w:sz w:val="20"/>
          <w:szCs w:val="20"/>
        </w:rPr>
        <w:t xml:space="preserve">, e dove il vento è spesso a favore di questi ultimi per più snelli sistemi legislativo-burocratici e inferiori costi </w:t>
      </w:r>
      <w:r w:rsidR="006E3ECF" w:rsidRPr="009969C0">
        <w:rPr>
          <w:rFonts w:ascii="Verdana" w:hAnsi="Verdana"/>
          <w:sz w:val="20"/>
          <w:szCs w:val="20"/>
        </w:rPr>
        <w:t xml:space="preserve">fiscali e </w:t>
      </w:r>
      <w:r w:rsidR="002345D6" w:rsidRPr="009969C0">
        <w:rPr>
          <w:rFonts w:ascii="Verdana" w:hAnsi="Verdana"/>
          <w:sz w:val="20"/>
          <w:szCs w:val="20"/>
        </w:rPr>
        <w:t>del lavoro in vigore nei loro Paesi</w:t>
      </w:r>
      <w:r w:rsidRPr="009969C0">
        <w:rPr>
          <w:rFonts w:ascii="Verdana" w:hAnsi="Verdana"/>
          <w:sz w:val="20"/>
          <w:szCs w:val="20"/>
        </w:rPr>
        <w:t xml:space="preserve">. </w:t>
      </w:r>
      <w:r w:rsidR="006E3ECF" w:rsidRPr="009969C0">
        <w:rPr>
          <w:rFonts w:ascii="Verdana" w:hAnsi="Verdana"/>
          <w:sz w:val="20"/>
          <w:szCs w:val="20"/>
        </w:rPr>
        <w:t xml:space="preserve">Tra le conseguenze, la </w:t>
      </w:r>
      <w:r w:rsidR="006E3ECF" w:rsidRPr="00406B6D">
        <w:rPr>
          <w:rFonts w:ascii="Verdana" w:hAnsi="Verdana"/>
          <w:b/>
          <w:sz w:val="20"/>
          <w:szCs w:val="20"/>
        </w:rPr>
        <w:t>colonizzazione</w:t>
      </w:r>
      <w:r w:rsidR="006E3ECF" w:rsidRPr="009969C0">
        <w:rPr>
          <w:rFonts w:ascii="Verdana" w:hAnsi="Verdana"/>
          <w:sz w:val="20"/>
          <w:szCs w:val="20"/>
        </w:rPr>
        <w:t xml:space="preserve"> dei luoghi in cui transitano le merci, in particolare le strade, e l</w:t>
      </w:r>
      <w:r w:rsidR="00D051D6" w:rsidRPr="009969C0">
        <w:rPr>
          <w:rFonts w:ascii="Verdana" w:hAnsi="Verdana"/>
          <w:sz w:val="20"/>
          <w:szCs w:val="20"/>
        </w:rPr>
        <w:t>a tendenza sempre maggiore dell</w:t>
      </w:r>
      <w:r w:rsidR="002D716A" w:rsidRPr="009969C0">
        <w:rPr>
          <w:rFonts w:ascii="Verdana" w:hAnsi="Verdana"/>
          <w:sz w:val="20"/>
          <w:szCs w:val="20"/>
        </w:rPr>
        <w:t xml:space="preserve">e imprese italiane del trasporto </w:t>
      </w:r>
      <w:r w:rsidR="00D051D6" w:rsidRPr="009969C0">
        <w:rPr>
          <w:rFonts w:ascii="Verdana" w:hAnsi="Verdana"/>
          <w:sz w:val="20"/>
          <w:szCs w:val="20"/>
        </w:rPr>
        <w:t xml:space="preserve">a </w:t>
      </w:r>
      <w:r w:rsidR="002D716A" w:rsidRPr="00406B6D">
        <w:rPr>
          <w:rFonts w:ascii="Verdana" w:hAnsi="Verdana"/>
          <w:b/>
          <w:sz w:val="20"/>
          <w:szCs w:val="20"/>
        </w:rPr>
        <w:t>delocalizzare</w:t>
      </w:r>
      <w:r w:rsidR="002D716A" w:rsidRPr="009969C0">
        <w:rPr>
          <w:rFonts w:ascii="Verdana" w:hAnsi="Verdana"/>
          <w:sz w:val="20"/>
          <w:szCs w:val="20"/>
        </w:rPr>
        <w:t>,</w:t>
      </w:r>
      <w:r w:rsidR="00D051D6" w:rsidRPr="009969C0">
        <w:rPr>
          <w:rFonts w:ascii="Verdana" w:hAnsi="Verdana"/>
          <w:sz w:val="20"/>
          <w:szCs w:val="20"/>
        </w:rPr>
        <w:t xml:space="preserve"> </w:t>
      </w:r>
      <w:r w:rsidR="002D716A" w:rsidRPr="009969C0">
        <w:rPr>
          <w:rFonts w:ascii="Verdana" w:hAnsi="Verdana"/>
          <w:sz w:val="20"/>
          <w:szCs w:val="20"/>
        </w:rPr>
        <w:t xml:space="preserve">per sopravvivere, </w:t>
      </w:r>
      <w:r w:rsidR="00D051D6" w:rsidRPr="009969C0">
        <w:rPr>
          <w:rFonts w:ascii="Verdana" w:hAnsi="Verdana"/>
          <w:sz w:val="20"/>
          <w:szCs w:val="20"/>
        </w:rPr>
        <w:t xml:space="preserve">là dove il costo del </w:t>
      </w:r>
      <w:r w:rsidR="007A7A84" w:rsidRPr="009969C0">
        <w:rPr>
          <w:rFonts w:ascii="Verdana" w:hAnsi="Verdana"/>
          <w:sz w:val="20"/>
          <w:szCs w:val="20"/>
        </w:rPr>
        <w:t xml:space="preserve">lavoro </w:t>
      </w:r>
      <w:r w:rsidR="00D051D6" w:rsidRPr="009969C0">
        <w:rPr>
          <w:rFonts w:ascii="Verdana" w:hAnsi="Verdana"/>
          <w:sz w:val="20"/>
          <w:szCs w:val="20"/>
        </w:rPr>
        <w:t xml:space="preserve">è </w:t>
      </w:r>
      <w:r w:rsidR="007A7A84" w:rsidRPr="009969C0">
        <w:rPr>
          <w:rFonts w:ascii="Verdana" w:hAnsi="Verdana"/>
          <w:sz w:val="20"/>
          <w:szCs w:val="20"/>
        </w:rPr>
        <w:t xml:space="preserve">più basso a </w:t>
      </w:r>
      <w:r w:rsidR="00D051D6" w:rsidRPr="009969C0">
        <w:rPr>
          <w:rFonts w:ascii="Verdana" w:hAnsi="Verdana"/>
          <w:sz w:val="20"/>
          <w:szCs w:val="20"/>
        </w:rPr>
        <w:t xml:space="preserve">la </w:t>
      </w:r>
      <w:r w:rsidR="007A7A84" w:rsidRPr="009969C0">
        <w:rPr>
          <w:rFonts w:ascii="Verdana" w:hAnsi="Verdana"/>
          <w:sz w:val="20"/>
          <w:szCs w:val="20"/>
        </w:rPr>
        <w:t>burocrazia</w:t>
      </w:r>
      <w:r w:rsidR="00852085" w:rsidRPr="009969C0">
        <w:rPr>
          <w:rFonts w:ascii="Verdana" w:hAnsi="Verdana"/>
          <w:sz w:val="20"/>
          <w:szCs w:val="20"/>
        </w:rPr>
        <w:t xml:space="preserve"> </w:t>
      </w:r>
      <w:r w:rsidR="00D051D6" w:rsidRPr="009969C0">
        <w:rPr>
          <w:rFonts w:ascii="Verdana" w:hAnsi="Verdana"/>
          <w:sz w:val="20"/>
          <w:szCs w:val="20"/>
        </w:rPr>
        <w:t>più rapida ed efficiente</w:t>
      </w:r>
      <w:r w:rsidR="00852085" w:rsidRPr="009969C0">
        <w:rPr>
          <w:rFonts w:ascii="Verdana" w:hAnsi="Verdana"/>
          <w:sz w:val="20"/>
          <w:szCs w:val="20"/>
        </w:rPr>
        <w:t>.</w:t>
      </w:r>
      <w:r w:rsidR="009F06DA" w:rsidRPr="009969C0">
        <w:rPr>
          <w:rFonts w:ascii="Verdana" w:hAnsi="Verdana"/>
          <w:sz w:val="20"/>
          <w:szCs w:val="20"/>
        </w:rPr>
        <w:t xml:space="preserve"> </w:t>
      </w:r>
    </w:p>
    <w:p w:rsidR="00D051D6" w:rsidRPr="009969C0" w:rsidRDefault="006E3ECF" w:rsidP="007B372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9969C0">
        <w:rPr>
          <w:rFonts w:ascii="Verdana" w:hAnsi="Verdana" w:cs="Arial"/>
          <w:sz w:val="20"/>
          <w:szCs w:val="20"/>
        </w:rPr>
        <w:t xml:space="preserve">Per rendersene conto basta leggere i dati </w:t>
      </w:r>
      <w:r w:rsidR="00284554" w:rsidRPr="009969C0">
        <w:rPr>
          <w:rFonts w:ascii="Verdana" w:hAnsi="Verdana" w:cs="Arial"/>
          <w:sz w:val="20"/>
          <w:szCs w:val="20"/>
        </w:rPr>
        <w:t xml:space="preserve">elaborati dall’Ufficio Studi Confcommercio </w:t>
      </w:r>
      <w:r w:rsidRPr="009969C0">
        <w:rPr>
          <w:rFonts w:ascii="Verdana" w:hAnsi="Verdana" w:cs="Arial"/>
          <w:sz w:val="20"/>
          <w:szCs w:val="20"/>
        </w:rPr>
        <w:t>su</w:t>
      </w:r>
      <w:r w:rsidR="00D051D6" w:rsidRPr="009969C0">
        <w:rPr>
          <w:rFonts w:ascii="Verdana" w:hAnsi="Verdana" w:cs="Arial"/>
          <w:sz w:val="20"/>
          <w:szCs w:val="20"/>
        </w:rPr>
        <w:t>lle merci in entrata e in uscita dall’Ita</w:t>
      </w:r>
      <w:r w:rsidR="00F0252E">
        <w:rPr>
          <w:rFonts w:ascii="Verdana" w:hAnsi="Verdana" w:cs="Arial"/>
          <w:sz w:val="20"/>
          <w:szCs w:val="20"/>
        </w:rPr>
        <w:t>lia attraverso la gomma. Nel 2005 36,9 miliardi</w:t>
      </w:r>
      <w:r w:rsidR="00D051D6" w:rsidRPr="009969C0">
        <w:rPr>
          <w:rFonts w:ascii="Verdana" w:hAnsi="Verdana" w:cs="Arial"/>
          <w:sz w:val="20"/>
          <w:szCs w:val="20"/>
        </w:rPr>
        <w:t xml:space="preserve"> di t-km in entrata e in uscita dall’Italia erano lavorate da autoveicoli immat</w:t>
      </w:r>
      <w:r w:rsidR="00F0252E">
        <w:rPr>
          <w:rFonts w:ascii="Verdana" w:hAnsi="Verdana" w:cs="Arial"/>
          <w:sz w:val="20"/>
          <w:szCs w:val="20"/>
        </w:rPr>
        <w:t xml:space="preserve">ricolati in Italia, 42,7 </w:t>
      </w:r>
      <w:proofErr w:type="spellStart"/>
      <w:r w:rsidR="00F0252E">
        <w:rPr>
          <w:rFonts w:ascii="Verdana" w:hAnsi="Verdana" w:cs="Arial"/>
          <w:sz w:val="20"/>
          <w:szCs w:val="20"/>
        </w:rPr>
        <w:t>mld</w:t>
      </w:r>
      <w:proofErr w:type="spellEnd"/>
      <w:r w:rsidR="00D051D6" w:rsidRPr="009969C0">
        <w:rPr>
          <w:rFonts w:ascii="Verdana" w:hAnsi="Verdana" w:cs="Arial"/>
          <w:sz w:val="20"/>
          <w:szCs w:val="20"/>
        </w:rPr>
        <w:t xml:space="preserve"> di tonnellate erano appannaggio di altri Paesi tradizionalmente forti nell’autotrasporto - tra gli altri Germania e Spagna - e i veicoli immatricolati nell’Est europeo </w:t>
      </w:r>
      <w:r w:rsidR="00F0252E">
        <w:rPr>
          <w:rFonts w:ascii="Verdana" w:hAnsi="Verdana" w:cs="Arial"/>
          <w:sz w:val="20"/>
          <w:szCs w:val="20"/>
        </w:rPr>
        <w:t>coprivano il 15,5%</w:t>
      </w:r>
      <w:r w:rsidR="00D051D6" w:rsidRPr="009969C0">
        <w:rPr>
          <w:rFonts w:ascii="Verdana" w:hAnsi="Verdana" w:cs="Arial"/>
          <w:sz w:val="20"/>
          <w:szCs w:val="20"/>
        </w:rPr>
        <w:t xml:space="preserve">. </w:t>
      </w:r>
      <w:r w:rsidR="00D051D6" w:rsidRPr="00406B6D">
        <w:rPr>
          <w:rFonts w:ascii="Verdana" w:hAnsi="Verdana" w:cs="Arial"/>
          <w:b/>
          <w:sz w:val="20"/>
          <w:szCs w:val="20"/>
        </w:rPr>
        <w:t>Il fenomeno si è acuito</w:t>
      </w:r>
      <w:r w:rsidR="00F0252E">
        <w:rPr>
          <w:rFonts w:ascii="Verdana" w:hAnsi="Verdana" w:cs="Arial"/>
          <w:sz w:val="20"/>
          <w:szCs w:val="20"/>
        </w:rPr>
        <w:t xml:space="preserve"> durante la</w:t>
      </w:r>
      <w:r w:rsidR="00D051D6" w:rsidRPr="009969C0">
        <w:rPr>
          <w:rFonts w:ascii="Verdana" w:hAnsi="Verdana" w:cs="Arial"/>
          <w:sz w:val="20"/>
          <w:szCs w:val="20"/>
        </w:rPr>
        <w:t xml:space="preserve"> recessione e non si è fermato neppure durant</w:t>
      </w:r>
      <w:r w:rsidR="00F0252E">
        <w:rPr>
          <w:rFonts w:ascii="Verdana" w:hAnsi="Verdana" w:cs="Arial"/>
          <w:sz w:val="20"/>
          <w:szCs w:val="20"/>
        </w:rPr>
        <w:t xml:space="preserve">e la timida ripresa del </w:t>
      </w:r>
      <w:r w:rsidR="00D051D6" w:rsidRPr="009969C0">
        <w:rPr>
          <w:rFonts w:ascii="Verdana" w:hAnsi="Verdana" w:cs="Arial"/>
          <w:sz w:val="20"/>
          <w:szCs w:val="20"/>
        </w:rPr>
        <w:t xml:space="preserve">2014-2015. In termini di quote di mercato i veicoli italiani hanno perso </w:t>
      </w:r>
      <w:r w:rsidR="00F0252E">
        <w:rPr>
          <w:rFonts w:ascii="Verdana" w:hAnsi="Verdana" w:cs="Arial"/>
          <w:sz w:val="20"/>
          <w:szCs w:val="20"/>
        </w:rPr>
        <w:t xml:space="preserve">il </w:t>
      </w:r>
      <w:r w:rsidR="00D051D6" w:rsidRPr="009969C0">
        <w:rPr>
          <w:rFonts w:ascii="Verdana" w:hAnsi="Verdana" w:cs="Arial"/>
          <w:sz w:val="20"/>
          <w:szCs w:val="20"/>
        </w:rPr>
        <w:t>23</w:t>
      </w:r>
      <w:r w:rsidR="00F0252E">
        <w:rPr>
          <w:rFonts w:ascii="Verdana" w:hAnsi="Verdana" w:cs="Arial"/>
          <w:sz w:val="20"/>
          <w:szCs w:val="20"/>
        </w:rPr>
        <w:t>%</w:t>
      </w:r>
      <w:r w:rsidR="00D051D6" w:rsidRPr="009969C0">
        <w:rPr>
          <w:rFonts w:ascii="Verdana" w:hAnsi="Verdana" w:cs="Arial"/>
          <w:sz w:val="20"/>
          <w:szCs w:val="20"/>
        </w:rPr>
        <w:t xml:space="preserve"> </w:t>
      </w:r>
      <w:r w:rsidR="007C3EBF" w:rsidRPr="009969C0">
        <w:rPr>
          <w:rFonts w:ascii="Verdana" w:hAnsi="Verdana" w:cs="Arial"/>
          <w:sz w:val="20"/>
          <w:szCs w:val="20"/>
        </w:rPr>
        <w:t xml:space="preserve">(passando dal 36,4% del 2005 al </w:t>
      </w:r>
      <w:r w:rsidR="00D051D6" w:rsidRPr="009969C0">
        <w:rPr>
          <w:rFonts w:ascii="Verdana" w:hAnsi="Verdana" w:cs="Arial"/>
          <w:sz w:val="20"/>
          <w:szCs w:val="20"/>
        </w:rPr>
        <w:t>13,4% del 2015), tutto a beneficio dei nuovi entranti che partendo dal 15,5% del traffico raggiungono nel 2015 una quota di mercato di oltre il 55%.</w:t>
      </w:r>
    </w:p>
    <w:p w:rsidR="001B6A78" w:rsidRPr="00406B6D" w:rsidRDefault="001B6A78" w:rsidP="00406B6D">
      <w:pPr>
        <w:widowControl w:val="0"/>
        <w:suppressAutoHyphens/>
        <w:autoSpaceDE w:val="0"/>
        <w:autoSpaceDN w:val="0"/>
        <w:adjustRightInd w:val="0"/>
        <w:spacing w:before="227" w:after="57" w:line="288" w:lineRule="auto"/>
        <w:jc w:val="center"/>
        <w:textAlignment w:val="center"/>
        <w:rPr>
          <w:rFonts w:ascii="Verdana" w:hAnsi="Verdana" w:cs="FrutigerLTStd-BoldCn"/>
          <w:b/>
          <w:bCs/>
          <w:color w:val="00447C"/>
          <w:sz w:val="20"/>
          <w:szCs w:val="20"/>
        </w:rPr>
      </w:pPr>
      <w:r w:rsidRPr="009969C0">
        <w:rPr>
          <w:rFonts w:ascii="Verdana" w:hAnsi="Verdana" w:cs="FrutigerLTStd-BoldCn"/>
          <w:b/>
          <w:bCs/>
          <w:color w:val="00447C"/>
          <w:sz w:val="20"/>
          <w:szCs w:val="20"/>
        </w:rPr>
        <w:t xml:space="preserve">Traffico internazionale di merci su gomma in entrata e in uscita in Italia </w:t>
      </w:r>
      <w:r w:rsidR="00F24527">
        <w:rPr>
          <w:rFonts w:ascii="Verdana" w:hAnsi="Verdana" w:cs="FrutigerLTStd-BoldCn"/>
          <w:b/>
          <w:bCs/>
          <w:color w:val="00447C"/>
          <w:sz w:val="20"/>
          <w:szCs w:val="20"/>
        </w:rPr>
        <w:br/>
      </w:r>
      <w:r w:rsidRPr="009969C0">
        <w:rPr>
          <w:rFonts w:ascii="Verdana" w:hAnsi="Verdana" w:cs="FrutigerLTStd-BoldCn"/>
          <w:b/>
          <w:bCs/>
          <w:color w:val="00447C"/>
          <w:sz w:val="20"/>
          <w:szCs w:val="20"/>
        </w:rPr>
        <w:t xml:space="preserve">per Paese </w:t>
      </w:r>
      <w:r w:rsidR="00406B6D">
        <w:rPr>
          <w:rFonts w:ascii="Verdana" w:hAnsi="Verdana" w:cs="FrutigerLTStd-BoldCn"/>
          <w:b/>
          <w:bCs/>
          <w:color w:val="00447C"/>
          <w:sz w:val="20"/>
          <w:szCs w:val="20"/>
        </w:rPr>
        <w:t xml:space="preserve">di immatricolazione dei veicoli - </w:t>
      </w:r>
      <w:r w:rsidRPr="009969C0">
        <w:rPr>
          <w:rFonts w:ascii="Verdana" w:hAnsi="Verdana" w:cs="FrutigerLTStd-Cn"/>
          <w:b/>
          <w:bCs/>
          <w:color w:val="00447C"/>
          <w:sz w:val="20"/>
          <w:szCs w:val="20"/>
        </w:rPr>
        <w:t>livelli in miliardi di t-km e quote %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931"/>
        <w:gridCol w:w="930"/>
        <w:gridCol w:w="931"/>
        <w:gridCol w:w="931"/>
        <w:gridCol w:w="2299"/>
      </w:tblGrid>
      <w:tr w:rsidR="001B6A78" w:rsidRPr="009969C0" w:rsidTr="00F0252E">
        <w:trPr>
          <w:trHeight w:val="45"/>
          <w:tblHeader/>
          <w:jc w:val="center"/>
        </w:trPr>
        <w:tc>
          <w:tcPr>
            <w:tcW w:w="2353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2005</w:t>
            </w:r>
          </w:p>
        </w:tc>
        <w:tc>
          <w:tcPr>
            <w:tcW w:w="930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2007</w:t>
            </w:r>
          </w:p>
        </w:tc>
        <w:tc>
          <w:tcPr>
            <w:tcW w:w="931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931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2299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var.%</w:t>
            </w:r>
            <w:proofErr w:type="gramEnd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 xml:space="preserve"> 2006-2015</w:t>
            </w: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9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-69,2</w:t>
            </w: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Paesi tradizionali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29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-49,7</w:t>
            </w: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Paesi marginali (&lt;1mld t-km)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29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-17,9</w:t>
            </w: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Paesi nuovi entranti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2299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198,5</w:t>
            </w:r>
          </w:p>
        </w:tc>
      </w:tr>
      <w:tr w:rsidR="001B6A78" w:rsidRPr="009969C0" w:rsidTr="00F0252E">
        <w:trPr>
          <w:trHeight w:val="332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2299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-16,3</w:t>
            </w: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4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quote</w:t>
            </w:r>
            <w:proofErr w:type="gramEnd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2299" w:type="dxa"/>
            <w:vMerge w:val="restart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6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931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30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31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31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299" w:type="dxa"/>
            <w:vMerge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6" w:space="0" w:color="00447C"/>
            </w:tcBorders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Paesi tradizionali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299" w:type="dxa"/>
            <w:vMerge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6" w:space="0" w:color="00447C"/>
            </w:tcBorders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6A78" w:rsidRPr="009969C0" w:rsidTr="00F0252E">
        <w:trPr>
          <w:trHeight w:val="531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Paesi marginali (&lt;1mld t-km)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299" w:type="dxa"/>
            <w:vMerge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6" w:space="0" w:color="00447C"/>
            </w:tcBorders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Paesi nuovi entranti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F0252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299" w:type="dxa"/>
            <w:vMerge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6" w:space="0" w:color="00447C"/>
            </w:tcBorders>
          </w:tcPr>
          <w:p w:rsidR="001B6A78" w:rsidRPr="009969C0" w:rsidRDefault="001B6A78" w:rsidP="00F0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2353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99" w:type="dxa"/>
            <w:vMerge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6" w:space="0" w:color="00447C"/>
            </w:tcBorders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6A78" w:rsidRPr="009969C0" w:rsidTr="00F0252E">
        <w:trPr>
          <w:trHeight w:val="45"/>
          <w:jc w:val="center"/>
        </w:trPr>
        <w:tc>
          <w:tcPr>
            <w:tcW w:w="8373" w:type="dxa"/>
            <w:gridSpan w:val="6"/>
            <w:tcBorders>
              <w:top w:val="single" w:sz="6" w:space="0" w:color="00447C"/>
              <w:left w:val="single" w:sz="6" w:space="0" w:color="00447C"/>
              <w:bottom w:val="single" w:sz="6" w:space="0" w:color="00447C"/>
              <w:right w:val="single" w:sz="6" w:space="0" w:color="00447C"/>
            </w:tcBorders>
            <w:tcMar>
              <w:top w:w="105" w:type="dxa"/>
              <w:left w:w="57" w:type="dxa"/>
              <w:bottom w:w="57" w:type="dxa"/>
              <w:right w:w="57" w:type="dxa"/>
            </w:tcMar>
            <w:vAlign w:val="center"/>
          </w:tcPr>
          <w:p w:rsidR="001B6A78" w:rsidRPr="009969C0" w:rsidRDefault="001B6A78" w:rsidP="001B6A7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57"/>
              <w:jc w:val="both"/>
              <w:textAlignment w:val="center"/>
              <w:rPr>
                <w:rFonts w:ascii="Verdana" w:hAnsi="Verdana" w:cs="FrutigerLTStd-LightCn"/>
                <w:color w:val="00447C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447C"/>
                <w:sz w:val="20"/>
                <w:szCs w:val="20"/>
              </w:rPr>
              <w:t>Elaborazioni, stime e previsioni Ufficio Studi Confcommercio su dati Eurostat.</w:t>
            </w:r>
          </w:p>
        </w:tc>
      </w:tr>
    </w:tbl>
    <w:p w:rsidR="00853BF5" w:rsidRPr="009969C0" w:rsidRDefault="00853BF5" w:rsidP="001B6A78">
      <w:pPr>
        <w:spacing w:after="0"/>
        <w:rPr>
          <w:rFonts w:ascii="Verdana" w:hAnsi="Verdana"/>
          <w:sz w:val="20"/>
          <w:szCs w:val="20"/>
        </w:rPr>
      </w:pPr>
    </w:p>
    <w:p w:rsidR="00F73F76" w:rsidRPr="009969C0" w:rsidRDefault="00F73F76" w:rsidP="00F73F76">
      <w:pPr>
        <w:spacing w:after="0"/>
        <w:jc w:val="both"/>
        <w:rPr>
          <w:rFonts w:ascii="Verdana" w:hAnsi="Verdana"/>
          <w:sz w:val="20"/>
          <w:szCs w:val="20"/>
        </w:rPr>
      </w:pPr>
    </w:p>
    <w:p w:rsidR="007B372B" w:rsidRDefault="008D1648" w:rsidP="00AE0CC2">
      <w:pPr>
        <w:spacing w:after="0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>T</w:t>
      </w:r>
      <w:r w:rsidR="00EB31D7" w:rsidRPr="009969C0">
        <w:rPr>
          <w:rFonts w:ascii="Verdana" w:hAnsi="Verdana"/>
          <w:sz w:val="20"/>
          <w:szCs w:val="20"/>
        </w:rPr>
        <w:t>ra il 2005</w:t>
      </w:r>
      <w:r w:rsidR="00D0100D" w:rsidRPr="009969C0">
        <w:rPr>
          <w:rFonts w:ascii="Verdana" w:hAnsi="Verdana"/>
          <w:sz w:val="20"/>
          <w:szCs w:val="20"/>
        </w:rPr>
        <w:t xml:space="preserve"> e</w:t>
      </w:r>
      <w:r w:rsidRPr="009969C0">
        <w:rPr>
          <w:rFonts w:ascii="Verdana" w:hAnsi="Verdana"/>
          <w:sz w:val="20"/>
          <w:szCs w:val="20"/>
        </w:rPr>
        <w:t xml:space="preserve"> il 2015 l’Italia perde molto</w:t>
      </w:r>
      <w:r w:rsidR="00D0100D" w:rsidRPr="009969C0">
        <w:rPr>
          <w:rFonts w:ascii="Verdana" w:hAnsi="Verdana"/>
          <w:sz w:val="20"/>
          <w:szCs w:val="20"/>
        </w:rPr>
        <w:t xml:space="preserve"> più degli altri concorrenti tradizionali: -69,2% rispetto a -49,7% </w:t>
      </w:r>
      <w:r w:rsidR="003C6FB4" w:rsidRPr="009969C0">
        <w:rPr>
          <w:rFonts w:ascii="Verdana" w:hAnsi="Verdana"/>
          <w:sz w:val="20"/>
          <w:szCs w:val="20"/>
        </w:rPr>
        <w:t>(mentre i Paesi dell’Est Europa schizzano a +198,5%), una distanza di 20 punti percentuali</w:t>
      </w:r>
      <w:r w:rsidR="00D0100D" w:rsidRPr="009969C0">
        <w:rPr>
          <w:rFonts w:ascii="Verdana" w:hAnsi="Verdana"/>
          <w:sz w:val="20"/>
          <w:szCs w:val="20"/>
        </w:rPr>
        <w:t xml:space="preserve">. </w:t>
      </w:r>
      <w:r w:rsidR="001D3E0D" w:rsidRPr="009969C0">
        <w:rPr>
          <w:rFonts w:ascii="Verdana" w:hAnsi="Verdana"/>
          <w:sz w:val="20"/>
          <w:szCs w:val="20"/>
        </w:rPr>
        <w:t xml:space="preserve">Tra </w:t>
      </w:r>
    </w:p>
    <w:p w:rsidR="00D0100D" w:rsidRPr="009969C0" w:rsidRDefault="001D3E0D" w:rsidP="00AE0CC2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9969C0">
        <w:rPr>
          <w:rFonts w:ascii="Verdana" w:hAnsi="Verdana"/>
          <w:sz w:val="20"/>
          <w:szCs w:val="20"/>
        </w:rPr>
        <w:t>il</w:t>
      </w:r>
      <w:proofErr w:type="gramEnd"/>
      <w:r w:rsidRPr="009969C0">
        <w:rPr>
          <w:rFonts w:ascii="Verdana" w:hAnsi="Verdana"/>
          <w:sz w:val="20"/>
          <w:szCs w:val="20"/>
        </w:rPr>
        <w:t xml:space="preserve"> 2005 e il 2015 anche la percentuale degli operatori italiani sul traffico complessivo si è ridotta, passando dall’8% al 2%. </w:t>
      </w:r>
      <w:r w:rsidR="00D0100D" w:rsidRPr="009969C0">
        <w:rPr>
          <w:rFonts w:ascii="Verdana" w:hAnsi="Verdana"/>
          <w:sz w:val="20"/>
          <w:szCs w:val="20"/>
        </w:rPr>
        <w:t>Evidentemente le politiche, la legislazione e le strategie implementate in Italia hanno funzionato peggio che negli altri Paesi nostri partner-concorrenti nell’autotrasporto</w:t>
      </w:r>
      <w:r w:rsidR="006B5945" w:rsidRPr="009969C0">
        <w:rPr>
          <w:rFonts w:ascii="Verdana" w:hAnsi="Verdana"/>
          <w:sz w:val="20"/>
          <w:szCs w:val="20"/>
        </w:rPr>
        <w:t>.</w:t>
      </w:r>
    </w:p>
    <w:p w:rsidR="00E36858" w:rsidRPr="009969C0" w:rsidRDefault="000E7E0C" w:rsidP="00AE0CC2">
      <w:pPr>
        <w:spacing w:after="0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>I</w:t>
      </w:r>
      <w:r w:rsidR="006B5945" w:rsidRPr="009969C0">
        <w:rPr>
          <w:rFonts w:ascii="Verdana" w:hAnsi="Verdana"/>
          <w:sz w:val="20"/>
          <w:szCs w:val="20"/>
        </w:rPr>
        <w:t xml:space="preserve">n questo periodo, sebbene il mercato del trasporto internazionale delle merci con origine o destinazione l’Italia sia cresciuto di quasi </w:t>
      </w:r>
      <w:r w:rsidR="006B5945" w:rsidRPr="00406B6D">
        <w:rPr>
          <w:rFonts w:ascii="Verdana" w:hAnsi="Verdana"/>
          <w:sz w:val="20"/>
          <w:szCs w:val="20"/>
        </w:rPr>
        <w:t>4 miliardi di euro</w:t>
      </w:r>
      <w:r w:rsidR="006B5945" w:rsidRPr="00406B6D">
        <w:rPr>
          <w:rFonts w:ascii="Verdana" w:hAnsi="Verdana"/>
          <w:b/>
          <w:sz w:val="20"/>
          <w:szCs w:val="20"/>
        </w:rPr>
        <w:t xml:space="preserve"> </w:t>
      </w:r>
      <w:r w:rsidR="006B5945" w:rsidRPr="009969C0">
        <w:rPr>
          <w:rFonts w:ascii="Verdana" w:hAnsi="Verdana"/>
          <w:sz w:val="20"/>
          <w:szCs w:val="20"/>
        </w:rPr>
        <w:t xml:space="preserve">(3,94), </w:t>
      </w:r>
      <w:r w:rsidR="006B5945" w:rsidRPr="00406B6D">
        <w:rPr>
          <w:rFonts w:ascii="Verdana" w:hAnsi="Verdana"/>
          <w:b/>
          <w:sz w:val="20"/>
          <w:szCs w:val="20"/>
        </w:rPr>
        <w:t>le imprese italiane non solo non ne hanno approfittato</w:t>
      </w:r>
      <w:r w:rsidR="006B5945" w:rsidRPr="009969C0">
        <w:rPr>
          <w:rFonts w:ascii="Verdana" w:hAnsi="Verdana"/>
          <w:sz w:val="20"/>
          <w:szCs w:val="20"/>
        </w:rPr>
        <w:t xml:space="preserve">, ma addirittura hanno perso un valore della produzione stimabile in oltre 1 miliardo e mezzo </w:t>
      </w:r>
      <w:r w:rsidR="00974EC0" w:rsidRPr="009969C0">
        <w:rPr>
          <w:rFonts w:ascii="Verdana" w:hAnsi="Verdana"/>
          <w:sz w:val="20"/>
          <w:szCs w:val="20"/>
        </w:rPr>
        <w:t xml:space="preserve">di euro </w:t>
      </w:r>
      <w:r w:rsidR="006B5945" w:rsidRPr="009969C0">
        <w:rPr>
          <w:rFonts w:ascii="Verdana" w:hAnsi="Verdana"/>
          <w:sz w:val="20"/>
          <w:szCs w:val="20"/>
        </w:rPr>
        <w:t xml:space="preserve">(1,66). </w:t>
      </w:r>
      <w:r w:rsidRPr="009969C0">
        <w:rPr>
          <w:rFonts w:ascii="Verdana" w:hAnsi="Verdana"/>
          <w:sz w:val="20"/>
          <w:szCs w:val="20"/>
        </w:rPr>
        <w:t>Va detto che anche</w:t>
      </w:r>
      <w:r w:rsidR="006B5945" w:rsidRPr="009969C0">
        <w:rPr>
          <w:rFonts w:ascii="Verdana" w:hAnsi="Verdana"/>
          <w:sz w:val="20"/>
          <w:szCs w:val="20"/>
        </w:rPr>
        <w:t xml:space="preserve"> gli altri tradizionali competitor hanno visto ridurre il proprio peso e il loro fatturato di circa mez</w:t>
      </w:r>
      <w:r w:rsidRPr="009969C0">
        <w:rPr>
          <w:rFonts w:ascii="Verdana" w:hAnsi="Verdana"/>
          <w:sz w:val="20"/>
          <w:szCs w:val="20"/>
        </w:rPr>
        <w:t>zo miliardo (0,59), che però</w:t>
      </w:r>
      <w:r w:rsidR="006B5945" w:rsidRPr="009969C0">
        <w:rPr>
          <w:rFonts w:ascii="Verdana" w:hAnsi="Verdana"/>
          <w:sz w:val="20"/>
          <w:szCs w:val="20"/>
        </w:rPr>
        <w:t xml:space="preserve"> corrisponde a circa un terzo di ciò che hanno perso le imprese italiane.</w:t>
      </w:r>
      <w:r w:rsidRPr="009969C0">
        <w:rPr>
          <w:rFonts w:ascii="Verdana" w:hAnsi="Verdana"/>
          <w:sz w:val="20"/>
          <w:szCs w:val="20"/>
        </w:rPr>
        <w:t xml:space="preserve"> </w:t>
      </w:r>
      <w:r w:rsidR="006B5945" w:rsidRPr="009969C0">
        <w:rPr>
          <w:rFonts w:ascii="Verdana" w:hAnsi="Verdana"/>
          <w:sz w:val="20"/>
          <w:szCs w:val="20"/>
        </w:rPr>
        <w:t xml:space="preserve">La parte del leone la fanno invece le imprese dei Paesi nuovi entrati nell’Ue, la cui quota nello stesso </w:t>
      </w:r>
      <w:r w:rsidR="00B64809" w:rsidRPr="009969C0">
        <w:rPr>
          <w:rFonts w:ascii="Verdana" w:hAnsi="Verdana"/>
          <w:sz w:val="20"/>
          <w:szCs w:val="20"/>
        </w:rPr>
        <w:t>periodo si è più che quadruplicata, con un incremento complessivo di 6 miliardi di euro.</w:t>
      </w:r>
    </w:p>
    <w:p w:rsidR="00E36858" w:rsidRPr="009969C0" w:rsidRDefault="00E36858" w:rsidP="00D0100D">
      <w:pPr>
        <w:spacing w:after="0"/>
        <w:jc w:val="both"/>
        <w:rPr>
          <w:rFonts w:ascii="Verdana" w:hAnsi="Verdana"/>
          <w:sz w:val="20"/>
          <w:szCs w:val="20"/>
        </w:rPr>
      </w:pPr>
    </w:p>
    <w:p w:rsidR="009B12AB" w:rsidRPr="009969C0" w:rsidRDefault="00B64809" w:rsidP="00D0100D">
      <w:pPr>
        <w:spacing w:after="0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 xml:space="preserve"> </w:t>
      </w:r>
      <w:r w:rsidR="006B5945" w:rsidRPr="009969C0">
        <w:rPr>
          <w:rFonts w:ascii="Verdana" w:hAnsi="Verdana"/>
          <w:sz w:val="20"/>
          <w:szCs w:val="20"/>
        </w:rPr>
        <w:t xml:space="preserve"> </w:t>
      </w:r>
    </w:p>
    <w:p w:rsidR="0034687A" w:rsidRPr="009969C0" w:rsidRDefault="00F960CA" w:rsidP="00F960CA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5314950" cy="33241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f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87" cy="332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48" w:rsidRPr="009969C0" w:rsidRDefault="008D1648" w:rsidP="00D0100D">
      <w:pPr>
        <w:spacing w:after="0"/>
        <w:jc w:val="both"/>
        <w:rPr>
          <w:rFonts w:ascii="Verdana" w:hAnsi="Verdana"/>
          <w:sz w:val="20"/>
          <w:szCs w:val="20"/>
        </w:rPr>
      </w:pPr>
    </w:p>
    <w:p w:rsidR="00F960CA" w:rsidRDefault="00F96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04EDD" w:rsidRPr="009969C0" w:rsidRDefault="00204EDD" w:rsidP="00D0100D">
      <w:pPr>
        <w:spacing w:after="0"/>
        <w:jc w:val="both"/>
        <w:rPr>
          <w:rFonts w:ascii="Verdana" w:hAnsi="Verdana"/>
          <w:sz w:val="20"/>
          <w:szCs w:val="20"/>
        </w:rPr>
      </w:pPr>
    </w:p>
    <w:p w:rsidR="007B372B" w:rsidRDefault="007B372B" w:rsidP="00AE0CC2">
      <w:pPr>
        <w:autoSpaceDE w:val="0"/>
        <w:autoSpaceDN w:val="0"/>
        <w:adjustRightInd w:val="0"/>
        <w:spacing w:after="0"/>
        <w:ind w:right="276"/>
        <w:rPr>
          <w:rFonts w:ascii="Verdana" w:eastAsia="Cambria" w:hAnsi="Verdana" w:cs="FrutigerLTStd-BoldCn"/>
          <w:b/>
          <w:bCs/>
          <w:color w:val="000000"/>
          <w:sz w:val="20"/>
          <w:szCs w:val="20"/>
        </w:rPr>
      </w:pPr>
    </w:p>
    <w:p w:rsidR="00455DDD" w:rsidRPr="009969C0" w:rsidRDefault="003B3196" w:rsidP="00AE0CC2">
      <w:pPr>
        <w:autoSpaceDE w:val="0"/>
        <w:autoSpaceDN w:val="0"/>
        <w:adjustRightInd w:val="0"/>
        <w:spacing w:after="0"/>
        <w:ind w:right="276"/>
        <w:rPr>
          <w:rFonts w:ascii="Verdana" w:eastAsia="Cambria" w:hAnsi="Verdana" w:cs="FrutigerLTStd-BoldCn"/>
          <w:b/>
          <w:bCs/>
          <w:color w:val="000000"/>
          <w:sz w:val="20"/>
          <w:szCs w:val="20"/>
        </w:rPr>
      </w:pPr>
      <w:r w:rsidRPr="009969C0">
        <w:rPr>
          <w:rFonts w:ascii="Verdana" w:eastAsia="Cambria" w:hAnsi="Verdana" w:cs="FrutigerLTStd-BoldCn"/>
          <w:b/>
          <w:bCs/>
          <w:color w:val="000000"/>
          <w:sz w:val="20"/>
          <w:szCs w:val="20"/>
        </w:rPr>
        <w:t>IL FRENO DELLE INEFFICIENZE AMMINISTRATIVE</w:t>
      </w:r>
    </w:p>
    <w:p w:rsidR="00961E80" w:rsidRDefault="00961E80" w:rsidP="00AE0CC2">
      <w:pPr>
        <w:spacing w:after="0"/>
        <w:jc w:val="both"/>
        <w:rPr>
          <w:rFonts w:ascii="Verdana" w:hAnsi="Verdana"/>
          <w:sz w:val="20"/>
          <w:szCs w:val="20"/>
        </w:rPr>
      </w:pPr>
    </w:p>
    <w:p w:rsidR="00B85A90" w:rsidRPr="009969C0" w:rsidRDefault="00AB5CFB" w:rsidP="00AE0CC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 xml:space="preserve">Quali sono le </w:t>
      </w:r>
      <w:r w:rsidR="00B85A90" w:rsidRPr="009969C0">
        <w:rPr>
          <w:rFonts w:ascii="Verdana" w:hAnsi="Verdana"/>
          <w:sz w:val="20"/>
          <w:szCs w:val="20"/>
        </w:rPr>
        <w:t>ricadute delle inefficienze amministrative e della burocrazia sui fatturati e i mancati guadagni</w:t>
      </w:r>
      <w:r w:rsidRPr="009969C0">
        <w:rPr>
          <w:rFonts w:ascii="Verdana" w:hAnsi="Verdana"/>
          <w:sz w:val="20"/>
          <w:szCs w:val="20"/>
        </w:rPr>
        <w:t>?</w:t>
      </w:r>
      <w:r w:rsidR="00B85A90" w:rsidRPr="009969C0">
        <w:rPr>
          <w:rFonts w:ascii="Verdana" w:hAnsi="Verdana"/>
          <w:sz w:val="20"/>
          <w:szCs w:val="20"/>
        </w:rPr>
        <w:t xml:space="preserve"> </w:t>
      </w:r>
      <w:r w:rsidR="005C20D6" w:rsidRPr="009969C0">
        <w:rPr>
          <w:rFonts w:ascii="Verdana" w:hAnsi="Verdana"/>
          <w:sz w:val="20"/>
          <w:szCs w:val="20"/>
        </w:rPr>
        <w:t>Abbiamo</w:t>
      </w:r>
      <w:r w:rsidR="00B85A90" w:rsidRPr="009969C0">
        <w:rPr>
          <w:rFonts w:ascii="Verdana" w:hAnsi="Verdana"/>
          <w:sz w:val="20"/>
          <w:szCs w:val="20"/>
        </w:rPr>
        <w:t xml:space="preserve"> tastato il polso alle imprese considerando un </w:t>
      </w:r>
      <w:r w:rsidR="00625E5E" w:rsidRPr="009969C0">
        <w:rPr>
          <w:rFonts w:ascii="Verdana" w:hAnsi="Verdana"/>
          <w:sz w:val="20"/>
          <w:szCs w:val="20"/>
        </w:rPr>
        <w:t xml:space="preserve">universo di oltre 87mila </w:t>
      </w:r>
      <w:r w:rsidR="00625E5E" w:rsidRPr="009969C0">
        <w:rPr>
          <w:rFonts w:ascii="Verdana" w:hAnsi="Verdana"/>
          <w:b/>
          <w:sz w:val="20"/>
          <w:szCs w:val="20"/>
        </w:rPr>
        <w:t>aziende</w:t>
      </w:r>
      <w:r w:rsidR="00B85A90" w:rsidRPr="009969C0">
        <w:rPr>
          <w:rFonts w:ascii="Verdana" w:hAnsi="Verdana"/>
          <w:b/>
          <w:sz w:val="20"/>
          <w:szCs w:val="20"/>
        </w:rPr>
        <w:t xml:space="preserve"> d</w:t>
      </w:r>
      <w:r w:rsidRPr="009969C0">
        <w:rPr>
          <w:rFonts w:ascii="Verdana" w:hAnsi="Verdana"/>
          <w:b/>
          <w:sz w:val="20"/>
          <w:szCs w:val="20"/>
        </w:rPr>
        <w:t xml:space="preserve">i </w:t>
      </w:r>
      <w:r w:rsidR="00B85A90" w:rsidRPr="009969C0">
        <w:rPr>
          <w:rFonts w:ascii="Verdana" w:hAnsi="Verdana"/>
          <w:b/>
          <w:sz w:val="20"/>
          <w:szCs w:val="20"/>
        </w:rPr>
        <w:t xml:space="preserve">autotrasporto con parco veicoli di 480mila mezzi, e 195 unità navali fra traghetti e mezzi veloci. </w:t>
      </w:r>
    </w:p>
    <w:p w:rsidR="00B85A90" w:rsidRPr="009969C0" w:rsidRDefault="00B85A90" w:rsidP="00AE0C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D252A" w:rsidRPr="009969C0" w:rsidRDefault="005C20D6" w:rsidP="00AE0CC2">
      <w:pPr>
        <w:spacing w:after="0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>Fermo restando che l</w:t>
      </w:r>
      <w:r w:rsidR="00455DDD" w:rsidRPr="009969C0">
        <w:rPr>
          <w:rFonts w:ascii="Verdana" w:hAnsi="Verdana"/>
          <w:sz w:val="20"/>
          <w:szCs w:val="20"/>
        </w:rPr>
        <w:t>e imprese italiane spendono, rispetto alla media di quelle dei Paesi competitor</w:t>
      </w:r>
      <w:r w:rsidR="00455DDD" w:rsidRPr="009969C0">
        <w:rPr>
          <w:rFonts w:ascii="Verdana" w:hAnsi="Verdana"/>
          <w:b/>
          <w:sz w:val="20"/>
          <w:szCs w:val="20"/>
        </w:rPr>
        <w:t>, il 52% in più</w:t>
      </w:r>
      <w:r w:rsidR="00455DDD" w:rsidRPr="009969C0">
        <w:rPr>
          <w:rFonts w:ascii="Verdana" w:hAnsi="Verdana"/>
          <w:sz w:val="20"/>
          <w:szCs w:val="20"/>
        </w:rPr>
        <w:t xml:space="preserve"> delle giornate dedicate agli adempimenti burocratici</w:t>
      </w:r>
      <w:r w:rsidRPr="009969C0">
        <w:rPr>
          <w:rFonts w:ascii="Verdana" w:hAnsi="Verdana"/>
          <w:sz w:val="20"/>
          <w:szCs w:val="20"/>
        </w:rPr>
        <w:t>, n</w:t>
      </w:r>
      <w:r w:rsidR="00455DDD" w:rsidRPr="009969C0">
        <w:rPr>
          <w:rFonts w:ascii="Verdana" w:hAnsi="Verdana"/>
          <w:sz w:val="20"/>
          <w:szCs w:val="20"/>
        </w:rPr>
        <w:t xml:space="preserve">ella rilevazione </w:t>
      </w:r>
      <w:r w:rsidRPr="009969C0">
        <w:rPr>
          <w:rFonts w:ascii="Verdana" w:hAnsi="Verdana"/>
          <w:sz w:val="20"/>
          <w:szCs w:val="20"/>
        </w:rPr>
        <w:t xml:space="preserve">Confcommercio e Isfort </w:t>
      </w:r>
      <w:r w:rsidR="00455DDD" w:rsidRPr="009969C0">
        <w:rPr>
          <w:rFonts w:ascii="Verdana" w:hAnsi="Verdana"/>
          <w:sz w:val="20"/>
          <w:szCs w:val="20"/>
        </w:rPr>
        <w:t xml:space="preserve">sono riportati i dati </w:t>
      </w:r>
      <w:r w:rsidRPr="009969C0">
        <w:rPr>
          <w:rFonts w:ascii="Verdana" w:hAnsi="Verdana"/>
          <w:sz w:val="20"/>
          <w:szCs w:val="20"/>
        </w:rPr>
        <w:t xml:space="preserve">dei </w:t>
      </w:r>
      <w:r w:rsidR="00455DDD" w:rsidRPr="009969C0">
        <w:rPr>
          <w:rFonts w:ascii="Verdana" w:hAnsi="Verdana"/>
          <w:sz w:val="20"/>
          <w:szCs w:val="20"/>
        </w:rPr>
        <w:t>costi diretti effettivi sostenuti dalle imprese e quelli indiretti legati alle</w:t>
      </w:r>
      <w:r w:rsidR="00F960CA">
        <w:rPr>
          <w:rFonts w:ascii="Verdana" w:hAnsi="Verdana"/>
          <w:sz w:val="20"/>
          <w:szCs w:val="20"/>
        </w:rPr>
        <w:t xml:space="preserve"> inefficienze amministrative</w:t>
      </w:r>
      <w:r w:rsidR="00AB5CFB" w:rsidRPr="009969C0">
        <w:rPr>
          <w:rFonts w:ascii="Verdana" w:hAnsi="Verdana"/>
          <w:sz w:val="20"/>
          <w:szCs w:val="20"/>
        </w:rPr>
        <w:t xml:space="preserve">. Nella differenza tra </w:t>
      </w:r>
      <w:r w:rsidR="00455DDD" w:rsidRPr="009969C0">
        <w:rPr>
          <w:rFonts w:ascii="Verdana" w:hAnsi="Verdana"/>
          <w:sz w:val="20"/>
          <w:szCs w:val="20"/>
        </w:rPr>
        <w:t xml:space="preserve">tempo congruo </w:t>
      </w:r>
      <w:r w:rsidR="00AB5CFB" w:rsidRPr="009969C0">
        <w:rPr>
          <w:rFonts w:ascii="Verdana" w:hAnsi="Verdana"/>
          <w:sz w:val="20"/>
          <w:szCs w:val="20"/>
        </w:rPr>
        <w:t xml:space="preserve">- </w:t>
      </w:r>
      <w:r w:rsidR="00455DDD" w:rsidRPr="009969C0">
        <w:rPr>
          <w:rFonts w:ascii="Verdana" w:hAnsi="Verdana"/>
          <w:sz w:val="20"/>
          <w:szCs w:val="20"/>
        </w:rPr>
        <w:t>con un’amministrazione efficiente</w:t>
      </w:r>
      <w:r w:rsidR="00AB5CFB" w:rsidRPr="009969C0">
        <w:rPr>
          <w:rFonts w:ascii="Verdana" w:hAnsi="Verdana"/>
          <w:sz w:val="20"/>
          <w:szCs w:val="20"/>
        </w:rPr>
        <w:t xml:space="preserve"> -</w:t>
      </w:r>
      <w:r w:rsidR="00455DDD" w:rsidRPr="009969C0">
        <w:rPr>
          <w:rFonts w:ascii="Verdana" w:hAnsi="Verdana"/>
          <w:sz w:val="20"/>
          <w:szCs w:val="20"/>
        </w:rPr>
        <w:t xml:space="preserve"> ed effettivo </w:t>
      </w:r>
      <w:r w:rsidR="00AB5CFB" w:rsidRPr="009969C0">
        <w:rPr>
          <w:rFonts w:ascii="Verdana" w:hAnsi="Verdana"/>
          <w:sz w:val="20"/>
          <w:szCs w:val="20"/>
        </w:rPr>
        <w:t xml:space="preserve">- </w:t>
      </w:r>
      <w:r w:rsidRPr="009969C0">
        <w:rPr>
          <w:rFonts w:ascii="Verdana" w:hAnsi="Verdana"/>
          <w:sz w:val="20"/>
          <w:szCs w:val="20"/>
        </w:rPr>
        <w:t>sperimentato</w:t>
      </w:r>
      <w:r w:rsidR="00455DDD" w:rsidRPr="009969C0">
        <w:rPr>
          <w:rFonts w:ascii="Verdana" w:hAnsi="Verdana"/>
          <w:sz w:val="20"/>
          <w:szCs w:val="20"/>
        </w:rPr>
        <w:t xml:space="preserve"> </w:t>
      </w:r>
      <w:r w:rsidR="00AB5CFB" w:rsidRPr="009969C0">
        <w:rPr>
          <w:rFonts w:ascii="Verdana" w:hAnsi="Verdana"/>
          <w:sz w:val="20"/>
          <w:szCs w:val="20"/>
        </w:rPr>
        <w:t xml:space="preserve">‘sul </w:t>
      </w:r>
      <w:proofErr w:type="spellStart"/>
      <w:r w:rsidR="00AB5CFB" w:rsidRPr="009969C0">
        <w:rPr>
          <w:rFonts w:ascii="Verdana" w:hAnsi="Verdana"/>
          <w:sz w:val="20"/>
          <w:szCs w:val="20"/>
        </w:rPr>
        <w:t>campo’</w:t>
      </w:r>
      <w:proofErr w:type="spellEnd"/>
      <w:r w:rsidR="00455DDD" w:rsidRPr="009969C0">
        <w:rPr>
          <w:rFonts w:ascii="Verdana" w:hAnsi="Verdana"/>
          <w:sz w:val="20"/>
          <w:szCs w:val="20"/>
        </w:rPr>
        <w:t xml:space="preserve"> dalle imprese</w:t>
      </w:r>
      <w:r w:rsidR="00AB5CFB" w:rsidRPr="009969C0">
        <w:rPr>
          <w:rFonts w:ascii="Verdana" w:hAnsi="Verdana"/>
          <w:sz w:val="20"/>
          <w:szCs w:val="20"/>
        </w:rPr>
        <w:t xml:space="preserve"> -</w:t>
      </w:r>
      <w:r w:rsidRPr="009969C0">
        <w:rPr>
          <w:rFonts w:ascii="Verdana" w:hAnsi="Verdana"/>
          <w:sz w:val="20"/>
          <w:szCs w:val="20"/>
        </w:rPr>
        <w:t>, per</w:t>
      </w:r>
      <w:r w:rsidR="00455DDD" w:rsidRPr="009969C0">
        <w:rPr>
          <w:rFonts w:ascii="Verdana" w:hAnsi="Verdana"/>
          <w:sz w:val="20"/>
          <w:szCs w:val="20"/>
        </w:rPr>
        <w:t xml:space="preserve"> </w:t>
      </w:r>
      <w:r w:rsidR="00AB5CFB" w:rsidRPr="009969C0">
        <w:rPr>
          <w:rFonts w:ascii="Verdana" w:hAnsi="Verdana"/>
          <w:sz w:val="20"/>
          <w:szCs w:val="20"/>
        </w:rPr>
        <w:t>quelle</w:t>
      </w:r>
      <w:r w:rsidR="00455DDD" w:rsidRPr="009969C0">
        <w:rPr>
          <w:rFonts w:ascii="Verdana" w:hAnsi="Verdana"/>
          <w:sz w:val="20"/>
          <w:szCs w:val="20"/>
        </w:rPr>
        <w:t xml:space="preserve"> di navigazione (traghetti e mezzi veloci) i ritardi cumulati </w:t>
      </w:r>
      <w:r w:rsidRPr="009969C0">
        <w:rPr>
          <w:rFonts w:ascii="Verdana" w:hAnsi="Verdana"/>
          <w:sz w:val="20"/>
          <w:szCs w:val="20"/>
        </w:rPr>
        <w:t>generano</w:t>
      </w:r>
      <w:r w:rsidR="00455DDD" w:rsidRPr="009969C0">
        <w:rPr>
          <w:rFonts w:ascii="Verdana" w:hAnsi="Verdana"/>
          <w:sz w:val="20"/>
          <w:szCs w:val="20"/>
        </w:rPr>
        <w:t xml:space="preserve"> un danno di 140 milioni di euro </w:t>
      </w:r>
      <w:r w:rsidR="00AB5CFB" w:rsidRPr="009969C0">
        <w:rPr>
          <w:rFonts w:ascii="Verdana" w:hAnsi="Verdana"/>
          <w:sz w:val="20"/>
          <w:szCs w:val="20"/>
        </w:rPr>
        <w:t>a</w:t>
      </w:r>
      <w:r w:rsidRPr="009969C0">
        <w:rPr>
          <w:rFonts w:ascii="Verdana" w:hAnsi="Verdana"/>
          <w:sz w:val="20"/>
          <w:szCs w:val="20"/>
        </w:rPr>
        <w:t xml:space="preserve">ll’anno, </w:t>
      </w:r>
      <w:r w:rsidR="00455DDD" w:rsidRPr="009969C0">
        <w:rPr>
          <w:rFonts w:ascii="Verdana" w:hAnsi="Verdana"/>
          <w:sz w:val="20"/>
          <w:szCs w:val="20"/>
        </w:rPr>
        <w:t>mentre per quelle dell’</w:t>
      </w:r>
      <w:r w:rsidR="00455DDD" w:rsidRPr="00F960CA">
        <w:rPr>
          <w:rFonts w:ascii="Verdana" w:hAnsi="Verdana"/>
          <w:b/>
          <w:sz w:val="20"/>
          <w:szCs w:val="20"/>
        </w:rPr>
        <w:t>autotrasporto</w:t>
      </w:r>
      <w:r w:rsidR="00455DDD" w:rsidRPr="009969C0">
        <w:rPr>
          <w:rFonts w:ascii="Verdana" w:hAnsi="Verdana"/>
          <w:sz w:val="20"/>
          <w:szCs w:val="20"/>
        </w:rPr>
        <w:t xml:space="preserve"> il danno </w:t>
      </w:r>
      <w:r w:rsidR="00EB31D7" w:rsidRPr="009969C0">
        <w:rPr>
          <w:rFonts w:ascii="Verdana" w:hAnsi="Verdana"/>
          <w:sz w:val="20"/>
          <w:szCs w:val="20"/>
        </w:rPr>
        <w:t>in te</w:t>
      </w:r>
      <w:r w:rsidRPr="009969C0">
        <w:rPr>
          <w:rFonts w:ascii="Verdana" w:hAnsi="Verdana"/>
          <w:sz w:val="20"/>
          <w:szCs w:val="20"/>
        </w:rPr>
        <w:t xml:space="preserve">rmini </w:t>
      </w:r>
      <w:r w:rsidR="00EB31D7" w:rsidRPr="009969C0">
        <w:rPr>
          <w:rFonts w:ascii="Verdana" w:hAnsi="Verdana"/>
          <w:sz w:val="20"/>
          <w:szCs w:val="20"/>
        </w:rPr>
        <w:t xml:space="preserve">di </w:t>
      </w:r>
      <w:r w:rsidR="00EB31D7" w:rsidRPr="00F960CA">
        <w:rPr>
          <w:rFonts w:ascii="Verdana" w:hAnsi="Verdana"/>
          <w:b/>
          <w:sz w:val="20"/>
          <w:szCs w:val="20"/>
        </w:rPr>
        <w:t xml:space="preserve">mancato fatturato </w:t>
      </w:r>
      <w:r w:rsidR="00AB5CFB" w:rsidRPr="00F960CA">
        <w:rPr>
          <w:rFonts w:ascii="Verdana" w:hAnsi="Verdana"/>
          <w:b/>
          <w:sz w:val="20"/>
          <w:szCs w:val="20"/>
        </w:rPr>
        <w:t>è di</w:t>
      </w:r>
      <w:r w:rsidR="00455DDD" w:rsidRPr="00F960CA">
        <w:rPr>
          <w:rFonts w:ascii="Verdana" w:hAnsi="Verdana"/>
          <w:b/>
          <w:sz w:val="20"/>
          <w:szCs w:val="20"/>
        </w:rPr>
        <w:t xml:space="preserve"> 790 milioni di euro</w:t>
      </w:r>
      <w:r w:rsidR="00455DDD" w:rsidRPr="009969C0">
        <w:rPr>
          <w:rFonts w:ascii="Verdana" w:hAnsi="Verdana"/>
          <w:sz w:val="20"/>
          <w:szCs w:val="20"/>
        </w:rPr>
        <w:t xml:space="preserve"> e supera i 260 milioni </w:t>
      </w:r>
      <w:r w:rsidRPr="009969C0">
        <w:rPr>
          <w:rFonts w:ascii="Verdana" w:hAnsi="Verdana"/>
          <w:sz w:val="20"/>
          <w:szCs w:val="20"/>
        </w:rPr>
        <w:t>in</w:t>
      </w:r>
      <w:r w:rsidR="00455DDD" w:rsidRPr="009969C0">
        <w:rPr>
          <w:rFonts w:ascii="Verdana" w:hAnsi="Verdana"/>
          <w:sz w:val="20"/>
          <w:szCs w:val="20"/>
        </w:rPr>
        <w:t xml:space="preserve"> mancat</w:t>
      </w:r>
      <w:r w:rsidRPr="009969C0">
        <w:rPr>
          <w:rFonts w:ascii="Verdana" w:hAnsi="Verdana"/>
          <w:sz w:val="20"/>
          <w:szCs w:val="20"/>
        </w:rPr>
        <w:t>o</w:t>
      </w:r>
      <w:r w:rsidR="00455DDD" w:rsidRPr="009969C0">
        <w:rPr>
          <w:rFonts w:ascii="Verdana" w:hAnsi="Verdana"/>
          <w:sz w:val="20"/>
          <w:szCs w:val="20"/>
        </w:rPr>
        <w:t xml:space="preserve"> guadagno. </w:t>
      </w:r>
    </w:p>
    <w:p w:rsidR="00455DDD" w:rsidRPr="009969C0" w:rsidRDefault="00455DDD" w:rsidP="00AE0CC2">
      <w:pPr>
        <w:spacing w:after="0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 xml:space="preserve">Il sottodimensionamento delle Motorizzazioni </w:t>
      </w:r>
      <w:r w:rsidR="00EB31D7" w:rsidRPr="009969C0">
        <w:rPr>
          <w:rFonts w:ascii="Verdana" w:hAnsi="Verdana"/>
          <w:sz w:val="20"/>
          <w:szCs w:val="20"/>
        </w:rPr>
        <w:t xml:space="preserve">e l’allungamento dei tempi necessari alla verifica dei veicoli introdotta in via amministrativa ha generato anche </w:t>
      </w:r>
      <w:r w:rsidR="00EB31D7" w:rsidRPr="009969C0">
        <w:rPr>
          <w:rFonts w:ascii="Verdana" w:hAnsi="Verdana"/>
          <w:b/>
          <w:sz w:val="20"/>
          <w:szCs w:val="20"/>
        </w:rPr>
        <w:t xml:space="preserve">un aggravio di costi valutato in circa 50 euro per pratica </w:t>
      </w:r>
      <w:r w:rsidR="00EB31D7" w:rsidRPr="009969C0">
        <w:rPr>
          <w:rFonts w:ascii="Verdana" w:hAnsi="Verdana"/>
          <w:sz w:val="20"/>
          <w:szCs w:val="20"/>
        </w:rPr>
        <w:t>(l</w:t>
      </w:r>
      <w:r w:rsidRPr="009969C0">
        <w:rPr>
          <w:rFonts w:ascii="Verdana" w:hAnsi="Verdana"/>
          <w:sz w:val="20"/>
          <w:szCs w:val="20"/>
        </w:rPr>
        <w:t>e procedure per la verifica dei mezzi veng</w:t>
      </w:r>
      <w:r w:rsidR="00EB31D7" w:rsidRPr="009969C0">
        <w:rPr>
          <w:rFonts w:ascii="Verdana" w:hAnsi="Verdana"/>
          <w:sz w:val="20"/>
          <w:szCs w:val="20"/>
        </w:rPr>
        <w:t>o</w:t>
      </w:r>
      <w:r w:rsidRPr="009969C0">
        <w:rPr>
          <w:rFonts w:ascii="Verdana" w:hAnsi="Verdana"/>
          <w:sz w:val="20"/>
          <w:szCs w:val="20"/>
        </w:rPr>
        <w:t>no non di rado affidate a soggetti terzi</w:t>
      </w:r>
      <w:r w:rsidR="00EB31D7" w:rsidRPr="009969C0">
        <w:rPr>
          <w:rFonts w:ascii="Verdana" w:hAnsi="Verdana"/>
          <w:sz w:val="20"/>
          <w:szCs w:val="20"/>
        </w:rPr>
        <w:t>)</w:t>
      </w:r>
      <w:r w:rsidRPr="009969C0">
        <w:rPr>
          <w:rFonts w:ascii="Verdana" w:hAnsi="Verdana"/>
          <w:sz w:val="20"/>
          <w:szCs w:val="20"/>
        </w:rPr>
        <w:t xml:space="preserve">, che aggiungerebbe </w:t>
      </w:r>
      <w:r w:rsidRPr="009969C0">
        <w:rPr>
          <w:rFonts w:ascii="Verdana" w:hAnsi="Verdana"/>
          <w:b/>
          <w:sz w:val="20"/>
          <w:szCs w:val="20"/>
        </w:rPr>
        <w:t>ulteriori 25 milioni di euro ai costi registrati oggi per il complesso del comparto</w:t>
      </w:r>
      <w:r w:rsidRPr="009969C0">
        <w:rPr>
          <w:rFonts w:ascii="Verdana" w:hAnsi="Verdana"/>
          <w:sz w:val="20"/>
          <w:szCs w:val="20"/>
        </w:rPr>
        <w:t xml:space="preserve">. </w:t>
      </w:r>
    </w:p>
    <w:p w:rsidR="000E7E0C" w:rsidRPr="009969C0" w:rsidRDefault="000E7E0C" w:rsidP="00AE0CC2">
      <w:pPr>
        <w:rPr>
          <w:rFonts w:ascii="Verdana" w:hAnsi="Verdana"/>
          <w:sz w:val="20"/>
          <w:szCs w:val="20"/>
        </w:rPr>
      </w:pPr>
    </w:p>
    <w:p w:rsidR="009969C0" w:rsidRPr="009969C0" w:rsidRDefault="009969C0">
      <w:pPr>
        <w:rPr>
          <w:rFonts w:ascii="Verdana" w:hAnsi="Verdana" w:cs="FrutigerLTStd-BoldCn"/>
          <w:b/>
          <w:bCs/>
          <w:color w:val="00447C"/>
          <w:sz w:val="20"/>
          <w:szCs w:val="20"/>
        </w:rPr>
      </w:pPr>
      <w:r w:rsidRPr="009969C0">
        <w:rPr>
          <w:rFonts w:ascii="Verdana" w:hAnsi="Verdana" w:cs="FrutigerLTStd-BoldCn"/>
          <w:b/>
          <w:bCs/>
          <w:color w:val="00447C"/>
          <w:sz w:val="20"/>
          <w:szCs w:val="20"/>
        </w:rPr>
        <w:br w:type="page"/>
      </w:r>
    </w:p>
    <w:p w:rsidR="007B372B" w:rsidRPr="007B372B" w:rsidRDefault="007B372B" w:rsidP="00312221">
      <w:pPr>
        <w:widowControl w:val="0"/>
        <w:suppressAutoHyphens/>
        <w:autoSpaceDE w:val="0"/>
        <w:autoSpaceDN w:val="0"/>
        <w:adjustRightInd w:val="0"/>
        <w:spacing w:before="227" w:after="0" w:line="288" w:lineRule="auto"/>
        <w:jc w:val="center"/>
        <w:textAlignment w:val="center"/>
        <w:rPr>
          <w:rFonts w:ascii="Verdana" w:hAnsi="Verdana" w:cs="FrutigerLTStd-BoldCn"/>
          <w:b/>
          <w:bCs/>
          <w:color w:val="00447C"/>
          <w:sz w:val="16"/>
          <w:szCs w:val="16"/>
        </w:rPr>
      </w:pPr>
    </w:p>
    <w:p w:rsidR="00C415E5" w:rsidRPr="009969C0" w:rsidRDefault="002D252A" w:rsidP="00312221">
      <w:pPr>
        <w:widowControl w:val="0"/>
        <w:suppressAutoHyphens/>
        <w:autoSpaceDE w:val="0"/>
        <w:autoSpaceDN w:val="0"/>
        <w:adjustRightInd w:val="0"/>
        <w:spacing w:before="227" w:after="0" w:line="288" w:lineRule="auto"/>
        <w:jc w:val="center"/>
        <w:textAlignment w:val="center"/>
        <w:rPr>
          <w:rFonts w:ascii="Verdana" w:hAnsi="Verdana" w:cs="FrutigerLTStd-BoldCn"/>
          <w:b/>
          <w:bCs/>
          <w:color w:val="00447C"/>
          <w:sz w:val="20"/>
          <w:szCs w:val="20"/>
        </w:rPr>
      </w:pPr>
      <w:r w:rsidRPr="009969C0">
        <w:rPr>
          <w:rFonts w:ascii="Verdana" w:hAnsi="Verdana" w:cs="FrutigerLTStd-BoldCn"/>
          <w:b/>
          <w:bCs/>
          <w:color w:val="00447C"/>
          <w:sz w:val="20"/>
          <w:szCs w:val="20"/>
        </w:rPr>
        <w:t>I costi della burocrazia per le imprese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758"/>
        <w:gridCol w:w="1757"/>
      </w:tblGrid>
      <w:tr w:rsidR="00C415E5" w:rsidRPr="009969C0">
        <w:trPr>
          <w:trHeight w:val="60"/>
          <w:jc w:val="center"/>
        </w:trPr>
        <w:tc>
          <w:tcPr>
            <w:tcW w:w="8674" w:type="dxa"/>
            <w:gridSpan w:val="4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Imprese di navigazione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8674" w:type="dxa"/>
            <w:gridSpan w:val="4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Cn"/>
                <w:color w:val="FFFFFF"/>
                <w:sz w:val="20"/>
                <w:szCs w:val="20"/>
              </w:rPr>
              <w:t>Il danno dell'inefficienza amministrativa in termini di mancato fatturato</w:t>
            </w:r>
          </w:p>
        </w:tc>
      </w:tr>
      <w:tr w:rsidR="00C415E5" w:rsidRPr="009969C0" w:rsidTr="00F960CA">
        <w:trPr>
          <w:trHeight w:val="322"/>
          <w:jc w:val="center"/>
        </w:trPr>
        <w:tc>
          <w:tcPr>
            <w:tcW w:w="3402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 xml:space="preserve">val. </w:t>
            </w:r>
            <w:proofErr w:type="spellStart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ass</w:t>
            </w:r>
            <w:proofErr w:type="spellEnd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758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val. % sul</w:t>
            </w: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br/>
              <w:t>Fatturato</w:t>
            </w: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val. % sul</w:t>
            </w: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br/>
              <w:t>Valore aggiunto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Certificazione ex DL n. 28 del 2001</w:t>
            </w: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23.456.445</w:t>
            </w:r>
          </w:p>
        </w:tc>
        <w:tc>
          <w:tcPr>
            <w:tcW w:w="1758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1,7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Certificazione ex Legge n. 616 del 1962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118.720.910</w:t>
            </w:r>
          </w:p>
        </w:tc>
        <w:tc>
          <w:tcPr>
            <w:tcW w:w="1758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8,6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142.177.354</w:t>
            </w:r>
          </w:p>
        </w:tc>
        <w:tc>
          <w:tcPr>
            <w:tcW w:w="1758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10,3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8674" w:type="dxa"/>
            <w:gridSpan w:val="4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Imprese di autotrasporto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8674" w:type="dxa"/>
            <w:gridSpan w:val="4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Cn"/>
                <w:color w:val="FFFFFF"/>
                <w:sz w:val="20"/>
                <w:szCs w:val="20"/>
              </w:rPr>
              <w:t>Il danno dell'inefficienza amministrativa in termini di mancato fatturato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 xml:space="preserve">val. </w:t>
            </w:r>
            <w:proofErr w:type="spellStart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ass</w:t>
            </w:r>
            <w:proofErr w:type="spellEnd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758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val. % sul</w:t>
            </w: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br/>
              <w:t>Fatturato</w:t>
            </w: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val. % sul</w:t>
            </w: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br/>
              <w:t>Valore aggiunto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Controllo tecnico annuale (revisione)</w:t>
            </w: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568.375.442</w:t>
            </w:r>
          </w:p>
        </w:tc>
        <w:tc>
          <w:tcPr>
            <w:tcW w:w="1758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5,1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Iscrizione al REN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60.905.592</w:t>
            </w:r>
          </w:p>
        </w:tc>
        <w:tc>
          <w:tcPr>
            <w:tcW w:w="1758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0,5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Iscrizione registri PRA e MCTC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158.290.605</w:t>
            </w:r>
          </w:p>
        </w:tc>
        <w:tc>
          <w:tcPr>
            <w:tcW w:w="1758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1,4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787.571.639</w:t>
            </w:r>
          </w:p>
        </w:tc>
        <w:tc>
          <w:tcPr>
            <w:tcW w:w="1758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7,1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8674" w:type="dxa"/>
            <w:gridSpan w:val="4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Cn"/>
                <w:color w:val="FFFFFF"/>
                <w:sz w:val="20"/>
                <w:szCs w:val="20"/>
              </w:rPr>
              <w:t>Il danno dell'inefficienza amministrativa in termini di mancato guadagno (MOL)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 xml:space="preserve">val. </w:t>
            </w:r>
            <w:proofErr w:type="spellStart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ass</w:t>
            </w:r>
            <w:proofErr w:type="spellEnd"/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6" w:space="0" w:color="00447C"/>
              <w:right w:val="single" w:sz="2" w:space="0" w:color="00447C"/>
            </w:tcBorders>
            <w:shd w:val="solid" w:color="00447C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</w:pPr>
            <w:r w:rsidRPr="009969C0">
              <w:rPr>
                <w:rFonts w:ascii="Verdana" w:hAnsi="Verdana" w:cs="FrutigerLTStd-BoldCn"/>
                <w:b/>
                <w:bCs/>
                <w:color w:val="FFFFFF"/>
                <w:sz w:val="20"/>
                <w:szCs w:val="20"/>
              </w:rPr>
              <w:t>val. % sul MOL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Controllo tecnico annuale (revisione)</w:t>
            </w:r>
          </w:p>
        </w:tc>
        <w:tc>
          <w:tcPr>
            <w:tcW w:w="3515" w:type="dxa"/>
            <w:gridSpan w:val="2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189.458.481</w:t>
            </w:r>
          </w:p>
        </w:tc>
        <w:tc>
          <w:tcPr>
            <w:tcW w:w="1757" w:type="dxa"/>
            <w:tcBorders>
              <w:top w:val="single" w:sz="6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0,7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Iscrizione al REN</w:t>
            </w:r>
          </w:p>
        </w:tc>
        <w:tc>
          <w:tcPr>
            <w:tcW w:w="3515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20.301.864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0,2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Iscrizione registri PRA e MCTC</w:t>
            </w:r>
          </w:p>
        </w:tc>
        <w:tc>
          <w:tcPr>
            <w:tcW w:w="3515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52.763.535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0,1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3402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tabs>
                <w:tab w:val="left" w:pos="24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3515" w:type="dxa"/>
            <w:gridSpan w:val="2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262.523.880</w:t>
            </w:r>
          </w:p>
        </w:tc>
        <w:tc>
          <w:tcPr>
            <w:tcW w:w="1757" w:type="dxa"/>
            <w:tcBorders>
              <w:top w:val="single" w:sz="2" w:space="0" w:color="00447C"/>
              <w:left w:val="single" w:sz="2" w:space="0" w:color="00447C"/>
              <w:bottom w:val="single" w:sz="2" w:space="0" w:color="00447C"/>
              <w:right w:val="single" w:sz="2" w:space="0" w:color="00447C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15E5" w:rsidRPr="009969C0" w:rsidRDefault="00C415E5" w:rsidP="00C415E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Verdana" w:hAnsi="Verdana" w:cs="FrutigerLTStd-LightCn"/>
                <w:color w:val="000000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0000"/>
                <w:sz w:val="20"/>
                <w:szCs w:val="20"/>
              </w:rPr>
              <w:t>1,0</w:t>
            </w:r>
          </w:p>
        </w:tc>
      </w:tr>
      <w:tr w:rsidR="00C415E5" w:rsidRPr="009969C0">
        <w:trPr>
          <w:trHeight w:val="60"/>
          <w:jc w:val="center"/>
        </w:trPr>
        <w:tc>
          <w:tcPr>
            <w:tcW w:w="8674" w:type="dxa"/>
            <w:gridSpan w:val="4"/>
            <w:tcBorders>
              <w:top w:val="single" w:sz="6" w:space="0" w:color="00447C"/>
              <w:left w:val="single" w:sz="6" w:space="0" w:color="00447C"/>
              <w:bottom w:val="single" w:sz="6" w:space="0" w:color="00447C"/>
              <w:right w:val="single" w:sz="6" w:space="0" w:color="00447C"/>
            </w:tcBorders>
            <w:tcMar>
              <w:top w:w="105" w:type="dxa"/>
              <w:left w:w="57" w:type="dxa"/>
              <w:bottom w:w="57" w:type="dxa"/>
              <w:right w:w="57" w:type="dxa"/>
            </w:tcMar>
            <w:vAlign w:val="center"/>
          </w:tcPr>
          <w:p w:rsidR="00C415E5" w:rsidRPr="009969C0" w:rsidRDefault="00C415E5" w:rsidP="007B37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57"/>
              <w:jc w:val="both"/>
              <w:textAlignment w:val="center"/>
              <w:rPr>
                <w:rFonts w:ascii="Verdana" w:hAnsi="Verdana" w:cs="FrutigerLTStd-LightCn"/>
                <w:color w:val="00447C"/>
                <w:sz w:val="20"/>
                <w:szCs w:val="20"/>
              </w:rPr>
            </w:pPr>
            <w:r w:rsidRPr="009969C0">
              <w:rPr>
                <w:rFonts w:ascii="Verdana" w:hAnsi="Verdana" w:cs="FrutigerLTStd-LightCn"/>
                <w:color w:val="00447C"/>
                <w:sz w:val="20"/>
                <w:szCs w:val="20"/>
              </w:rPr>
              <w:t xml:space="preserve">Fonte: </w:t>
            </w:r>
            <w:r w:rsidR="007B372B">
              <w:rPr>
                <w:rFonts w:ascii="Verdana" w:hAnsi="Verdana" w:cs="FrutigerLTStd-LightCn"/>
                <w:color w:val="00447C"/>
                <w:sz w:val="20"/>
                <w:szCs w:val="20"/>
              </w:rPr>
              <w:t>Is</w:t>
            </w:r>
            <w:r w:rsidRPr="009969C0">
              <w:rPr>
                <w:rFonts w:ascii="Verdana" w:hAnsi="Verdana" w:cs="FrutigerLTStd-LightCn"/>
                <w:color w:val="00447C"/>
                <w:sz w:val="20"/>
                <w:szCs w:val="20"/>
              </w:rPr>
              <w:t>fort</w:t>
            </w:r>
            <w:r w:rsidR="00F24527">
              <w:rPr>
                <w:rFonts w:ascii="Verdana" w:hAnsi="Verdana" w:cs="FrutigerLTStd-LightCn"/>
                <w:color w:val="00447C"/>
                <w:sz w:val="20"/>
                <w:szCs w:val="20"/>
              </w:rPr>
              <w:t>/</w:t>
            </w:r>
            <w:r w:rsidRPr="009969C0">
              <w:rPr>
                <w:rFonts w:ascii="Verdana" w:hAnsi="Verdana" w:cs="FrutigerLTStd-LightCn"/>
                <w:color w:val="00447C"/>
                <w:sz w:val="20"/>
                <w:szCs w:val="20"/>
              </w:rPr>
              <w:t>Conftrasporto, 2017.</w:t>
            </w:r>
          </w:p>
        </w:tc>
      </w:tr>
    </w:tbl>
    <w:p w:rsidR="00C415E5" w:rsidRPr="009969C0" w:rsidRDefault="00C415E5" w:rsidP="00C415E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Verdana" w:hAnsi="Verdana" w:cs="FrutigerLTStd-Cn"/>
          <w:color w:val="000000"/>
          <w:sz w:val="20"/>
          <w:szCs w:val="20"/>
        </w:rPr>
      </w:pPr>
    </w:p>
    <w:p w:rsidR="00455DDD" w:rsidRPr="009969C0" w:rsidRDefault="00455DDD" w:rsidP="00455DDD">
      <w:pPr>
        <w:spacing w:after="0"/>
        <w:jc w:val="both"/>
        <w:rPr>
          <w:rFonts w:ascii="Verdana" w:hAnsi="Verdana"/>
          <w:sz w:val="20"/>
          <w:szCs w:val="20"/>
        </w:rPr>
      </w:pPr>
    </w:p>
    <w:p w:rsidR="007B372B" w:rsidRDefault="007B372B" w:rsidP="000E7E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7E0C" w:rsidRPr="009969C0" w:rsidRDefault="00455DDD" w:rsidP="000E7E0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969C0">
        <w:rPr>
          <w:rFonts w:ascii="Verdana" w:hAnsi="Verdana"/>
          <w:b/>
          <w:sz w:val="20"/>
          <w:szCs w:val="20"/>
        </w:rPr>
        <w:t>FERROVIE</w:t>
      </w:r>
    </w:p>
    <w:p w:rsidR="00961E80" w:rsidRDefault="00961E80" w:rsidP="005C20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5DDD" w:rsidRPr="009969C0" w:rsidRDefault="00455DDD" w:rsidP="005C20D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>La burocrazia ‘frena’ anche le ferrovie: pesano i criteri per il rilascio dei certificati di sicurezza, pesano i criteri utilizzati per il calcolo dei pedaggi nei traffici internazionali, pesano le regole di composizione del</w:t>
      </w:r>
      <w:r w:rsidR="00F24527">
        <w:rPr>
          <w:rFonts w:ascii="Verdana" w:hAnsi="Verdana"/>
          <w:sz w:val="20"/>
          <w:szCs w:val="20"/>
        </w:rPr>
        <w:t xml:space="preserve">l’equipaggio, con la questione unica in Europa </w:t>
      </w:r>
      <w:r w:rsidRPr="009969C0">
        <w:rPr>
          <w:rFonts w:ascii="Verdana" w:hAnsi="Verdana"/>
          <w:sz w:val="20"/>
          <w:szCs w:val="20"/>
        </w:rPr>
        <w:t xml:space="preserve">del doppio macchinista, che limitano la competitività del trasporto intermodale. </w:t>
      </w:r>
    </w:p>
    <w:p w:rsidR="009969C0" w:rsidRPr="009969C0" w:rsidRDefault="009969C0" w:rsidP="005C20D6">
      <w:pPr>
        <w:pStyle w:val="NormaleWeb"/>
        <w:tabs>
          <w:tab w:val="left" w:pos="9638"/>
        </w:tabs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9969C0" w:rsidRPr="009969C0" w:rsidRDefault="009969C0" w:rsidP="005C20D6">
      <w:pPr>
        <w:pStyle w:val="NormaleWeb"/>
        <w:tabs>
          <w:tab w:val="left" w:pos="9638"/>
        </w:tabs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128BD" w:rsidRPr="009969C0" w:rsidRDefault="00BF616F" w:rsidP="005C20D6">
      <w:pPr>
        <w:pStyle w:val="NormaleWeb"/>
        <w:tabs>
          <w:tab w:val="left" w:pos="9638"/>
        </w:tabs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969C0">
        <w:rPr>
          <w:rFonts w:ascii="Verdana" w:hAnsi="Verdana"/>
          <w:color w:val="000000"/>
          <w:sz w:val="20"/>
          <w:szCs w:val="20"/>
        </w:rPr>
        <w:t xml:space="preserve">Quella </w:t>
      </w:r>
      <w:r w:rsidR="004611FF" w:rsidRPr="009969C0">
        <w:rPr>
          <w:rFonts w:ascii="Verdana" w:hAnsi="Verdana"/>
          <w:color w:val="000000"/>
          <w:sz w:val="20"/>
          <w:szCs w:val="20"/>
        </w:rPr>
        <w:t xml:space="preserve">del </w:t>
      </w:r>
      <w:r w:rsidR="004611FF" w:rsidRPr="00F960CA">
        <w:rPr>
          <w:rFonts w:ascii="Verdana" w:hAnsi="Verdana"/>
          <w:b/>
          <w:color w:val="000000"/>
          <w:sz w:val="20"/>
          <w:szCs w:val="20"/>
        </w:rPr>
        <w:t>doppio conducente</w:t>
      </w:r>
      <w:r w:rsidRPr="009969C0">
        <w:rPr>
          <w:rFonts w:ascii="Verdana" w:hAnsi="Verdana"/>
          <w:color w:val="000000"/>
          <w:sz w:val="20"/>
          <w:szCs w:val="20"/>
        </w:rPr>
        <w:t xml:space="preserve"> è una prassi risalente all’epoca dei treni a vapore, quando il macchinista era affiancato dal fuochista, ed era legata al tema della sicurezza. Oggi il treno è tecnicamente in grado di arrestarsi autonomamente in tutte le situazioni di pericolo, </w:t>
      </w:r>
      <w:r w:rsidR="004611FF" w:rsidRPr="009969C0">
        <w:rPr>
          <w:rFonts w:ascii="Verdana" w:hAnsi="Verdana"/>
          <w:color w:val="000000"/>
          <w:sz w:val="20"/>
          <w:szCs w:val="20"/>
        </w:rPr>
        <w:t xml:space="preserve">compreso il malore del macchinista. Ma </w:t>
      </w:r>
      <w:r w:rsidR="00443BE8" w:rsidRPr="009969C0">
        <w:rPr>
          <w:rFonts w:ascii="Verdana" w:hAnsi="Verdana"/>
          <w:color w:val="000000"/>
          <w:sz w:val="20"/>
          <w:szCs w:val="20"/>
        </w:rPr>
        <w:t>la questione</w:t>
      </w:r>
      <w:r w:rsidR="00E128BD" w:rsidRPr="009969C0">
        <w:rPr>
          <w:rFonts w:ascii="Verdana" w:hAnsi="Verdana"/>
          <w:color w:val="000000"/>
          <w:sz w:val="20"/>
          <w:szCs w:val="20"/>
        </w:rPr>
        <w:t xml:space="preserve"> del macchinista unico</w:t>
      </w:r>
      <w:r w:rsidR="00443BE8" w:rsidRPr="009969C0">
        <w:rPr>
          <w:rFonts w:ascii="Verdana" w:hAnsi="Verdana"/>
          <w:color w:val="000000"/>
          <w:sz w:val="20"/>
          <w:szCs w:val="20"/>
        </w:rPr>
        <w:t xml:space="preserve"> in Italia è ancora in sospeso: </w:t>
      </w:r>
      <w:r w:rsidR="00E128BD" w:rsidRPr="009969C0">
        <w:rPr>
          <w:rFonts w:ascii="Verdana" w:hAnsi="Verdana"/>
          <w:color w:val="000000"/>
          <w:sz w:val="20"/>
          <w:szCs w:val="20"/>
        </w:rPr>
        <w:t>lo stop viene</w:t>
      </w:r>
      <w:r w:rsidR="00443BE8" w:rsidRPr="009969C0">
        <w:rPr>
          <w:rFonts w:ascii="Verdana" w:hAnsi="Verdana"/>
          <w:color w:val="000000"/>
          <w:sz w:val="20"/>
          <w:szCs w:val="20"/>
        </w:rPr>
        <w:t xml:space="preserve"> d</w:t>
      </w:r>
      <w:r w:rsidR="00E128BD" w:rsidRPr="009969C0">
        <w:rPr>
          <w:rFonts w:ascii="Verdana" w:hAnsi="Verdana"/>
          <w:color w:val="000000"/>
          <w:sz w:val="20"/>
          <w:szCs w:val="20"/>
        </w:rPr>
        <w:t>a</w:t>
      </w:r>
      <w:r w:rsidR="00443BE8" w:rsidRPr="009969C0">
        <w:rPr>
          <w:rFonts w:ascii="Verdana" w:hAnsi="Verdana"/>
          <w:color w:val="000000"/>
          <w:sz w:val="20"/>
          <w:szCs w:val="20"/>
        </w:rPr>
        <w:t xml:space="preserve"> alcune Asl</w:t>
      </w:r>
      <w:r w:rsidR="00E128BD" w:rsidRPr="009969C0">
        <w:rPr>
          <w:rFonts w:ascii="Verdana" w:hAnsi="Verdana"/>
          <w:color w:val="000000"/>
          <w:sz w:val="20"/>
          <w:szCs w:val="20"/>
        </w:rPr>
        <w:t xml:space="preserve"> che ritengono i tempi massimi di soccorso previsti da RFI e dalle imprese ferroviarie (30-40 minuti contro i 60 presi a riferimento dal resto d’Europa) troppo estesi.</w:t>
      </w:r>
    </w:p>
    <w:p w:rsidR="00FE5648" w:rsidRPr="009969C0" w:rsidRDefault="00FE5648" w:rsidP="005C20D6">
      <w:pPr>
        <w:pStyle w:val="NormaleWeb"/>
        <w:tabs>
          <w:tab w:val="left" w:pos="9638"/>
        </w:tabs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969C0">
        <w:rPr>
          <w:rFonts w:ascii="Verdana" w:hAnsi="Verdana"/>
          <w:color w:val="000000"/>
          <w:sz w:val="20"/>
          <w:szCs w:val="20"/>
        </w:rPr>
        <w:t>Una questione burocratica che</w:t>
      </w:r>
      <w:r w:rsidR="00BF616F" w:rsidRPr="009969C0">
        <w:rPr>
          <w:rFonts w:ascii="Verdana" w:hAnsi="Verdana"/>
          <w:color w:val="000000"/>
          <w:sz w:val="20"/>
          <w:szCs w:val="20"/>
        </w:rPr>
        <w:t xml:space="preserve"> </w:t>
      </w:r>
      <w:r w:rsidRPr="009969C0">
        <w:rPr>
          <w:rFonts w:ascii="Verdana" w:hAnsi="Verdana"/>
          <w:color w:val="000000"/>
          <w:sz w:val="20"/>
          <w:szCs w:val="20"/>
        </w:rPr>
        <w:t>diventa vincolo</w:t>
      </w:r>
      <w:r w:rsidR="00BF616F" w:rsidRPr="009969C0">
        <w:rPr>
          <w:rFonts w:ascii="Verdana" w:hAnsi="Verdana"/>
          <w:color w:val="000000"/>
          <w:sz w:val="20"/>
          <w:szCs w:val="20"/>
        </w:rPr>
        <w:t xml:space="preserve"> per tutte le imprese ferroviarie </w:t>
      </w:r>
      <w:r w:rsidRPr="009969C0">
        <w:rPr>
          <w:rFonts w:ascii="Verdana" w:hAnsi="Verdana"/>
          <w:color w:val="000000"/>
          <w:sz w:val="20"/>
          <w:szCs w:val="20"/>
        </w:rPr>
        <w:t xml:space="preserve">attive </w:t>
      </w:r>
      <w:r w:rsidR="00BF616F" w:rsidRPr="009969C0">
        <w:rPr>
          <w:rFonts w:ascii="Verdana" w:hAnsi="Verdana"/>
          <w:color w:val="000000"/>
          <w:sz w:val="20"/>
          <w:szCs w:val="20"/>
        </w:rPr>
        <w:t xml:space="preserve">sulla rete italiana. </w:t>
      </w:r>
    </w:p>
    <w:p w:rsidR="00FE5648" w:rsidRPr="009969C0" w:rsidRDefault="00FE5648" w:rsidP="005C20D6">
      <w:pPr>
        <w:pStyle w:val="NormaleWeb"/>
        <w:tabs>
          <w:tab w:val="left" w:pos="9638"/>
        </w:tabs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BF616F" w:rsidRPr="009969C0" w:rsidRDefault="00E128BD" w:rsidP="005C20D6">
      <w:pPr>
        <w:pStyle w:val="NormaleWeb"/>
        <w:tabs>
          <w:tab w:val="left" w:pos="9638"/>
        </w:tabs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color w:val="000000"/>
          <w:sz w:val="20"/>
          <w:szCs w:val="20"/>
        </w:rPr>
        <w:t xml:space="preserve">Non solo. </w:t>
      </w:r>
      <w:r w:rsidR="00BF616F" w:rsidRPr="009969C0">
        <w:rPr>
          <w:rFonts w:ascii="Verdana" w:hAnsi="Verdana"/>
          <w:sz w:val="20"/>
          <w:szCs w:val="20"/>
        </w:rPr>
        <w:t xml:space="preserve">Entro </w:t>
      </w:r>
      <w:r w:rsidRPr="009969C0">
        <w:rPr>
          <w:rFonts w:ascii="Verdana" w:hAnsi="Verdana"/>
          <w:sz w:val="20"/>
          <w:szCs w:val="20"/>
        </w:rPr>
        <w:t>4 anni</w:t>
      </w:r>
      <w:r w:rsidR="00BF616F" w:rsidRPr="009969C0">
        <w:rPr>
          <w:rFonts w:ascii="Verdana" w:hAnsi="Verdana"/>
          <w:sz w:val="20"/>
          <w:szCs w:val="20"/>
        </w:rPr>
        <w:t xml:space="preserve">, con l’implementazione di un </w:t>
      </w:r>
      <w:r w:rsidR="00BF616F" w:rsidRPr="00F960CA">
        <w:rPr>
          <w:rFonts w:ascii="Verdana" w:hAnsi="Verdana"/>
          <w:b/>
          <w:sz w:val="20"/>
          <w:szCs w:val="20"/>
        </w:rPr>
        <w:t>nuovo segnalamento uniforme</w:t>
      </w:r>
      <w:r w:rsidRPr="009969C0">
        <w:rPr>
          <w:rFonts w:ascii="Verdana" w:hAnsi="Verdana"/>
          <w:sz w:val="20"/>
          <w:szCs w:val="20"/>
        </w:rPr>
        <w:t>,</w:t>
      </w:r>
      <w:r w:rsidR="00BF616F" w:rsidRPr="009969C0">
        <w:rPr>
          <w:rFonts w:ascii="Verdana" w:hAnsi="Verdana"/>
          <w:sz w:val="20"/>
          <w:szCs w:val="20"/>
        </w:rPr>
        <w:t> le regole di condotta saranno le stesse in tutti i Paesi europei</w:t>
      </w:r>
      <w:r w:rsidRPr="009969C0">
        <w:rPr>
          <w:rFonts w:ascii="Verdana" w:hAnsi="Verdana"/>
          <w:sz w:val="20"/>
          <w:szCs w:val="20"/>
        </w:rPr>
        <w:t>,</w:t>
      </w:r>
      <w:r w:rsidR="00BF616F" w:rsidRPr="009969C0">
        <w:rPr>
          <w:rFonts w:ascii="Verdana" w:hAnsi="Verdana"/>
          <w:sz w:val="20"/>
          <w:szCs w:val="20"/>
        </w:rPr>
        <w:t xml:space="preserve"> quindi il macchinista potrà finalmente transitare con il proprio treno, attraverso i confini dei diversi Stati, potenzialmente senza alcuna soluzione di continuità (raggiungendo finalmente l’equiparazione con le altre modalità di trasporto).</w:t>
      </w:r>
    </w:p>
    <w:p w:rsidR="00455DDD" w:rsidRPr="009969C0" w:rsidRDefault="00BF616F" w:rsidP="005C20D6">
      <w:pPr>
        <w:pStyle w:val="NormaleWeb"/>
        <w:tabs>
          <w:tab w:val="left" w:pos="9638"/>
        </w:tabs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>E’ quindi evidente che</w:t>
      </w:r>
      <w:r w:rsidR="00FE5648" w:rsidRPr="009969C0">
        <w:rPr>
          <w:rFonts w:ascii="Verdana" w:hAnsi="Verdana"/>
          <w:sz w:val="20"/>
          <w:szCs w:val="20"/>
        </w:rPr>
        <w:t>,</w:t>
      </w:r>
      <w:r w:rsidRPr="009969C0">
        <w:rPr>
          <w:rFonts w:ascii="Verdana" w:hAnsi="Verdana"/>
          <w:sz w:val="20"/>
          <w:szCs w:val="20"/>
        </w:rPr>
        <w:t xml:space="preserve"> </w:t>
      </w:r>
      <w:r w:rsidR="00FE5648" w:rsidRPr="009969C0">
        <w:rPr>
          <w:rFonts w:ascii="Verdana" w:hAnsi="Verdana"/>
          <w:sz w:val="20"/>
          <w:szCs w:val="20"/>
        </w:rPr>
        <w:t xml:space="preserve">continuando ad </w:t>
      </w:r>
      <w:proofErr w:type="gramStart"/>
      <w:r w:rsidR="00FE5648" w:rsidRPr="009969C0">
        <w:rPr>
          <w:rFonts w:ascii="Verdana" w:hAnsi="Verdana"/>
          <w:sz w:val="20"/>
          <w:szCs w:val="20"/>
        </w:rPr>
        <w:t xml:space="preserve">avere </w:t>
      </w:r>
      <w:r w:rsidRPr="009969C0">
        <w:rPr>
          <w:rFonts w:ascii="Verdana" w:hAnsi="Verdana"/>
          <w:sz w:val="20"/>
          <w:szCs w:val="20"/>
        </w:rPr>
        <w:t xml:space="preserve"> un</w:t>
      </w:r>
      <w:proofErr w:type="gramEnd"/>
      <w:r w:rsidRPr="009969C0">
        <w:rPr>
          <w:rFonts w:ascii="Verdana" w:hAnsi="Verdana"/>
          <w:sz w:val="20"/>
          <w:szCs w:val="20"/>
        </w:rPr>
        <w:t xml:space="preserve"> equipaggio doppio</w:t>
      </w:r>
      <w:r w:rsidR="00FE5648" w:rsidRPr="009969C0">
        <w:rPr>
          <w:rFonts w:ascii="Verdana" w:hAnsi="Verdana"/>
          <w:sz w:val="20"/>
          <w:szCs w:val="20"/>
        </w:rPr>
        <w:t>, le imprese italiane</w:t>
      </w:r>
      <w:r w:rsidRPr="009969C0">
        <w:rPr>
          <w:rFonts w:ascii="Verdana" w:hAnsi="Verdana"/>
          <w:sz w:val="20"/>
          <w:szCs w:val="20"/>
        </w:rPr>
        <w:t xml:space="preserve"> </w:t>
      </w:r>
      <w:r w:rsidR="00FE5648" w:rsidRPr="009969C0">
        <w:rPr>
          <w:rFonts w:ascii="Verdana" w:hAnsi="Verdana"/>
          <w:sz w:val="20"/>
          <w:szCs w:val="20"/>
        </w:rPr>
        <w:t>subiranno</w:t>
      </w:r>
      <w:r w:rsidRPr="009969C0">
        <w:rPr>
          <w:rFonts w:ascii="Verdana" w:hAnsi="Verdana"/>
          <w:sz w:val="20"/>
          <w:szCs w:val="20"/>
        </w:rPr>
        <w:t xml:space="preserve"> un gap competitivo ancor più inaccettabile.</w:t>
      </w:r>
      <w:r w:rsidR="00FE5648" w:rsidRPr="009969C0">
        <w:rPr>
          <w:rFonts w:ascii="Verdana" w:hAnsi="Verdana"/>
          <w:sz w:val="20"/>
          <w:szCs w:val="20"/>
        </w:rPr>
        <w:t xml:space="preserve"> </w:t>
      </w:r>
      <w:r w:rsidR="00FE5648" w:rsidRPr="00F960CA">
        <w:rPr>
          <w:rFonts w:ascii="Verdana" w:hAnsi="Verdana"/>
          <w:b/>
          <w:sz w:val="20"/>
          <w:szCs w:val="20"/>
        </w:rPr>
        <w:t>L</w:t>
      </w:r>
      <w:r w:rsidR="00455DDD" w:rsidRPr="00F960CA">
        <w:rPr>
          <w:rFonts w:ascii="Verdana" w:hAnsi="Verdana"/>
          <w:b/>
          <w:sz w:val="20"/>
          <w:szCs w:val="20"/>
        </w:rPr>
        <w:t xml:space="preserve">'’agente </w:t>
      </w:r>
      <w:proofErr w:type="spellStart"/>
      <w:r w:rsidR="00455DDD" w:rsidRPr="00F960CA">
        <w:rPr>
          <w:rFonts w:ascii="Verdana" w:hAnsi="Verdana"/>
          <w:b/>
          <w:sz w:val="20"/>
          <w:szCs w:val="20"/>
        </w:rPr>
        <w:t>solo’</w:t>
      </w:r>
      <w:proofErr w:type="spellEnd"/>
      <w:r w:rsidR="00455DDD" w:rsidRPr="00F960CA">
        <w:rPr>
          <w:rFonts w:ascii="Verdana" w:hAnsi="Verdana"/>
          <w:b/>
          <w:sz w:val="20"/>
          <w:szCs w:val="20"/>
        </w:rPr>
        <w:t xml:space="preserve"> vale il 10%</w:t>
      </w:r>
      <w:r w:rsidR="00455DDD" w:rsidRPr="009969C0">
        <w:rPr>
          <w:rFonts w:ascii="Verdana" w:hAnsi="Verdana"/>
          <w:sz w:val="20"/>
          <w:szCs w:val="20"/>
        </w:rPr>
        <w:t xml:space="preserve"> del costo industriale di un’impresa ferroviaria. Se tale criticità fosse superata, secondo le stime </w:t>
      </w:r>
      <w:proofErr w:type="spellStart"/>
      <w:r w:rsidR="00455DDD" w:rsidRPr="009969C0">
        <w:rPr>
          <w:rFonts w:ascii="Verdana" w:hAnsi="Verdana"/>
          <w:sz w:val="20"/>
          <w:szCs w:val="20"/>
        </w:rPr>
        <w:t>Fercargo</w:t>
      </w:r>
      <w:proofErr w:type="spellEnd"/>
      <w:r w:rsidR="00455DDD" w:rsidRPr="009969C0">
        <w:rPr>
          <w:rFonts w:ascii="Verdana" w:hAnsi="Verdana"/>
          <w:sz w:val="20"/>
          <w:szCs w:val="20"/>
        </w:rPr>
        <w:t>, si potrebbe conseguire un incremento dei volumi di traffico realizzati dalle imprese aderenti variabile dal 5 al 10%; se fossero risolti i problemi connessi alle certificazioni di sicurezza, ci sarebbe una crescita del 5% e se si superassero le difficoltà di calcolo dei pedaggi sulle diverse reti ferroviarie, l’incremento sarebbe di circa l’1%. Ne d</w:t>
      </w:r>
      <w:r w:rsidR="00FE5648" w:rsidRPr="009969C0">
        <w:rPr>
          <w:rFonts w:ascii="Verdana" w:hAnsi="Verdana"/>
          <w:sz w:val="20"/>
          <w:szCs w:val="20"/>
        </w:rPr>
        <w:t>eriva</w:t>
      </w:r>
      <w:r w:rsidR="00455DDD" w:rsidRPr="009969C0">
        <w:rPr>
          <w:rFonts w:ascii="Verdana" w:hAnsi="Verdana"/>
          <w:sz w:val="20"/>
          <w:szCs w:val="20"/>
        </w:rPr>
        <w:t xml:space="preserve"> un traffico ferroviario potenziale e complessivamente non realizzato compreso tra il 9% ed il 16% dei volumi delle imprese private cargo, equivalente a circa un punto di quota modale, assolutamente non trascurabile.</w:t>
      </w:r>
    </w:p>
    <w:p w:rsidR="00F960CA" w:rsidRDefault="00F960C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FE5648" w:rsidRPr="009969C0" w:rsidRDefault="00FE5648" w:rsidP="002D252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B372B" w:rsidRDefault="007B372B" w:rsidP="002D252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73F76" w:rsidRPr="009969C0" w:rsidRDefault="00A7293F" w:rsidP="002D252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969C0">
        <w:rPr>
          <w:rFonts w:ascii="Verdana" w:hAnsi="Verdana"/>
          <w:b/>
          <w:sz w:val="20"/>
          <w:szCs w:val="20"/>
        </w:rPr>
        <w:t>L</w:t>
      </w:r>
      <w:r w:rsidR="005F6A57" w:rsidRPr="009969C0">
        <w:rPr>
          <w:rFonts w:ascii="Verdana" w:hAnsi="Verdana"/>
          <w:b/>
          <w:sz w:val="20"/>
          <w:szCs w:val="20"/>
        </w:rPr>
        <w:t>A VIA DELLA SETA</w:t>
      </w:r>
    </w:p>
    <w:p w:rsidR="00F0252E" w:rsidRDefault="00F0252E" w:rsidP="005C20D6">
      <w:p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</w:p>
    <w:p w:rsidR="00A3602F" w:rsidRPr="009969C0" w:rsidRDefault="00D758C3" w:rsidP="005C20D6">
      <w:p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 xml:space="preserve">Dai dati emerge quindi uno scenario in cui anche la grande opportunità che si prospetta con la Via della Seta </w:t>
      </w:r>
      <w:r w:rsidRPr="009969C0">
        <w:rPr>
          <w:rFonts w:ascii="Verdana" w:hAnsi="Verdana"/>
          <w:b/>
          <w:sz w:val="20"/>
          <w:szCs w:val="20"/>
        </w:rPr>
        <w:t>rischia di trasfor</w:t>
      </w:r>
      <w:r w:rsidR="00840F30" w:rsidRPr="009969C0">
        <w:rPr>
          <w:rFonts w:ascii="Verdana" w:hAnsi="Verdana"/>
          <w:b/>
          <w:sz w:val="20"/>
          <w:szCs w:val="20"/>
        </w:rPr>
        <w:t>marsi in un’occasione mancata</w:t>
      </w:r>
      <w:r w:rsidR="00840F30" w:rsidRPr="009969C0">
        <w:rPr>
          <w:rFonts w:ascii="Verdana" w:hAnsi="Verdana"/>
          <w:sz w:val="20"/>
          <w:szCs w:val="20"/>
        </w:rPr>
        <w:t xml:space="preserve">. </w:t>
      </w:r>
    </w:p>
    <w:p w:rsidR="00A3602F" w:rsidRPr="009969C0" w:rsidRDefault="003A7596" w:rsidP="005C20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 nuova Via della Seta c</w:t>
      </w:r>
      <w:r w:rsidR="00A3602F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oinvolgerà 3 continenti, </w:t>
      </w:r>
      <w:r w:rsidR="00A3602F"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65 Paesi</w:t>
      </w:r>
      <w:r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 xml:space="preserve"> con d</w:t>
      </w:r>
      <w:r w:rsidR="00A3602F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ue diverse direttrici e 5 rotte:</w:t>
      </w: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  <w:r w:rsidR="00A3602F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collegherà i centri produttivi della Cina Meridionale con i mercati di consumo europei tramite ferrovia, attraverso Asia continentale e Russia (rotta 1); Cina e Medio Oriente attraverso l’Asia centrale (rotta 2) e Cina con Sud Est Asiatico e India (rotta 3). 8.000 km da Chengdu a Rotterdam.</w:t>
      </w: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8F7A85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Via mare, invece, con </w:t>
      </w:r>
      <w:r w:rsidR="00A3602F"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The</w:t>
      </w:r>
      <w:r w:rsidR="008F7A85"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 xml:space="preserve"> 21st Century Maritime </w:t>
      </w:r>
      <w:proofErr w:type="spellStart"/>
      <w:r w:rsidR="008F7A85"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Silk</w:t>
      </w:r>
      <w:proofErr w:type="spellEnd"/>
      <w:r w:rsidR="008F7A85"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8F7A85"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Roa</w:t>
      </w:r>
      <w:proofErr w:type="spellEnd"/>
      <w:r w:rsidR="00A3602F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le merci cinesi salperanno dai porti del Paese per raggiungere il Mediterraneo via Suez (rotta 4) e il resto dell’Asia attraverso il Mar Cinese Meridionale (rotta 5).</w:t>
      </w: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A3602F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Lo scopo è ufficialmente quello </w:t>
      </w:r>
      <w:r w:rsidR="00A3602F"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migliorare i collegamenti tra Asia, Africa ed Europa</w:t>
      </w:r>
      <w:r w:rsidR="00A3602F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A3602F" w:rsidRPr="009969C0" w:rsidRDefault="00A3602F" w:rsidP="005C20D6">
      <w:pPr>
        <w:shd w:val="clear" w:color="auto" w:fill="FFFFFF"/>
        <w:spacing w:before="240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969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Il ruolo dell’Italia come punto d’arrivo della via marittima</w:t>
      </w:r>
    </w:p>
    <w:p w:rsidR="00A3602F" w:rsidRPr="009969C0" w:rsidRDefault="00A3602F" w:rsidP="005C20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 momento non è possibile individuare chiaramente il punto di arrivo della tratta marittima, ma appare evidente che </w:t>
      </w:r>
      <w:r w:rsidRPr="009969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l’approdo più naturale sia l’Italia</w:t>
      </w: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posizionata sopra il Canale di Suez, varco di accesso delle navi cariche di prodotti cinesi al Mar Mediterraneo.</w:t>
      </w:r>
    </w:p>
    <w:p w:rsidR="009969C0" w:rsidRDefault="00A3602F" w:rsidP="0047310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 prima fermata sarà certamente il </w:t>
      </w:r>
      <w:r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porto greco del Pireo</w:t>
      </w:r>
      <w:r w:rsidR="0047310A" w:rsidRPr="009969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. </w:t>
      </w:r>
      <w:r w:rsidR="0047310A" w:rsidRPr="009969C0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Quello</w:t>
      </w: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ellenico non può essere </w:t>
      </w:r>
      <w:r w:rsidR="0047310A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</w:t>
      </w:r>
      <w:proofErr w:type="spellStart"/>
      <w:r w:rsidR="0047310A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hub</w:t>
      </w:r>
      <w:proofErr w:type="spellEnd"/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logisticamente più appropriato </w:t>
      </w:r>
      <w:proofErr w:type="gramStart"/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 i</w:t>
      </w:r>
      <w:proofErr w:type="gramEnd"/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carichi diretti verso l’Europa continentale e settentrionale. </w:t>
      </w:r>
    </w:p>
    <w:p w:rsidR="009969C0" w:rsidRDefault="009969C0" w:rsidP="0047310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A3602F" w:rsidRPr="009969C0" w:rsidRDefault="00A3602F" w:rsidP="0047310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 destinazione naturale è appunto l’Italia</w:t>
      </w:r>
      <w:r w:rsidR="0047310A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con l’ipotesi dei porti di</w:t>
      </w: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  <w:r w:rsidRPr="009969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Trieste, Venezia e Genova</w:t>
      </w:r>
      <w:r w:rsidR="0047310A" w:rsidRPr="009969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.</w:t>
      </w:r>
      <w:r w:rsidR="008F7A85"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Non va però sottovalutato un fatto: a ottobre 2016 la </w:t>
      </w:r>
      <w:r w:rsidRPr="009969C0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COSCO</w:t>
      </w:r>
      <w:r w:rsidRPr="009969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ha acquistato il 49% del nuovo terminal container in fase di realizzazione a Vado Ligure (Savona). </w:t>
      </w:r>
    </w:p>
    <w:p w:rsidR="00D758C3" w:rsidRPr="009969C0" w:rsidRDefault="00D758C3" w:rsidP="003A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69C0">
        <w:rPr>
          <w:rFonts w:ascii="Verdana" w:hAnsi="Verdana"/>
          <w:sz w:val="20"/>
          <w:szCs w:val="20"/>
        </w:rPr>
        <w:t xml:space="preserve">L’Italia è </w:t>
      </w:r>
      <w:r w:rsidR="003A7596" w:rsidRPr="009969C0">
        <w:rPr>
          <w:rFonts w:ascii="Verdana" w:hAnsi="Verdana"/>
          <w:sz w:val="20"/>
          <w:szCs w:val="20"/>
        </w:rPr>
        <w:t xml:space="preserve">quindi </w:t>
      </w:r>
      <w:r w:rsidRPr="009969C0">
        <w:rPr>
          <w:rFonts w:ascii="Verdana" w:hAnsi="Verdana"/>
          <w:sz w:val="20"/>
          <w:szCs w:val="20"/>
        </w:rPr>
        <w:t>la naturale piattaforma logistica di collegamento delle rotte marittime di Asia, canale di Suez e Mediterraneo con l’Europa</w:t>
      </w:r>
      <w:r w:rsidR="00C84151" w:rsidRPr="009969C0">
        <w:rPr>
          <w:rFonts w:ascii="Verdana" w:hAnsi="Verdana"/>
          <w:sz w:val="20"/>
          <w:szCs w:val="20"/>
        </w:rPr>
        <w:t xml:space="preserve"> continentale</w:t>
      </w:r>
      <w:r w:rsidR="0047310A" w:rsidRPr="009969C0">
        <w:rPr>
          <w:rFonts w:ascii="Verdana" w:hAnsi="Verdana"/>
          <w:sz w:val="20"/>
          <w:szCs w:val="20"/>
        </w:rPr>
        <w:t xml:space="preserve"> </w:t>
      </w:r>
      <w:r w:rsidR="00C84151" w:rsidRPr="009969C0">
        <w:rPr>
          <w:rFonts w:ascii="Verdana" w:hAnsi="Verdana"/>
          <w:sz w:val="20"/>
          <w:szCs w:val="20"/>
        </w:rPr>
        <w:t xml:space="preserve">e il suo nucleo produttivo, con i porti a ricoprire un ruolo fondamentale, tanto a Nord </w:t>
      </w:r>
      <w:r w:rsidR="0047310A" w:rsidRPr="009969C0">
        <w:rPr>
          <w:rFonts w:ascii="Verdana" w:hAnsi="Verdana"/>
          <w:sz w:val="20"/>
          <w:szCs w:val="20"/>
        </w:rPr>
        <w:t>quanto</w:t>
      </w:r>
      <w:r w:rsidR="00C84151" w:rsidRPr="009969C0">
        <w:rPr>
          <w:rFonts w:ascii="Verdana" w:hAnsi="Verdana"/>
          <w:sz w:val="20"/>
          <w:szCs w:val="20"/>
        </w:rPr>
        <w:t xml:space="preserve"> a Sud. La condizione è che si investa massicciamente sull’intermodalità, sulla logistica e su un modello integrato con i processi produttivi. </w:t>
      </w:r>
    </w:p>
    <w:p w:rsidR="00F960CA" w:rsidRDefault="00F96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F7A85" w:rsidRPr="009969C0" w:rsidRDefault="008F7A85" w:rsidP="00A360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372B" w:rsidRDefault="007B372B" w:rsidP="00A3602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60CA" w:rsidRDefault="00F960CA" w:rsidP="00A3602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COSA CHIEDIAMO ALLE ISTITUZIONI</w:t>
      </w:r>
    </w:p>
    <w:p w:rsidR="002F71A2" w:rsidRPr="00F960CA" w:rsidRDefault="002F71A2" w:rsidP="00A3602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2F71A2">
        <w:rPr>
          <w:rFonts w:ascii="Verdana" w:eastAsia="Times New Roman" w:hAnsi="Verdana" w:cs="Times New Roman"/>
          <w:bCs/>
          <w:sz w:val="20"/>
          <w:szCs w:val="20"/>
        </w:rPr>
        <w:t>modifiche</w:t>
      </w:r>
      <w:proofErr w:type="gram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al “</w:t>
      </w: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pacchetto mobilità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>” presentato dalla Commissione Europea lo scorso mese di maggio, per introdurre più efficaci disposizioni di contrasto della concorrenza sleale e del dumping sociale, subordinando prioritariamente qualsiasi forma di ulteriore liberalizzazione delle attività di cabotaggio, ad un necessario riallineamento delle differenziate condizioni di contesto (fisco e previdenza in primis) in cui si trovano ad operare le imprese del continente;</w:t>
      </w: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2F71A2">
        <w:rPr>
          <w:rFonts w:ascii="Verdana" w:eastAsia="Times New Roman" w:hAnsi="Verdana" w:cs="Times New Roman"/>
          <w:bCs/>
          <w:sz w:val="20"/>
          <w:szCs w:val="20"/>
        </w:rPr>
        <w:t>in</w:t>
      </w:r>
      <w:proofErr w:type="gram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tema di tariffazione dell’uso delle infrastrutture, completa ed efficiente applicazione del principio “</w:t>
      </w: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chi più inquina più paga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>” a tutti gli utilizzatori delle stesse, con meccanismi premiali per le soluzioni di trasporto più sostenibili e rapportando i danni ambientali generati, all’entità del trasportato, tenendo in considerazione il sistema impositivo complessivamente gravante sui diversi operatori;</w:t>
      </w: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2F71A2">
        <w:rPr>
          <w:rFonts w:ascii="Verdana" w:eastAsia="Times New Roman" w:hAnsi="Verdana" w:cs="Times New Roman"/>
          <w:bCs/>
          <w:sz w:val="20"/>
          <w:szCs w:val="20"/>
        </w:rPr>
        <w:t>definizione</w:t>
      </w:r>
      <w:proofErr w:type="gram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di un nuovo strumento europeo per </w:t>
      </w: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incentivare il trasporto combinato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>;</w:t>
      </w: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sblocco</w:t>
      </w:r>
      <w:proofErr w:type="gram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del sistema dei </w:t>
      </w: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trasporti eccezionali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su strada in Italia: criteri uniformi nazionali per il rilascio delle autorizzazioni, potenziamento degli organici degli uffici tecnici, catasto delle strade, procedure telematiche e sportelli unici;</w:t>
      </w: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piena attuazione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alla strategia organica d’intervento nel settore “</w:t>
      </w: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Connettere l’Italia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>”, promossa dal Ministero delle Infrastrutture e Trasporti per una sostenibilità della mobilità, da conseguire nell’ambito di una politica che punti prioritariamente ad accrescere l’accessibilità e la connettività dei territori, premiando le soluzioni di trasporto più sostenibili, tra quelle che riescono a soddisfare con efficacia ed efficienza, le esigenze della domanda (</w:t>
      </w:r>
      <w:proofErr w:type="spellStart"/>
      <w:r w:rsidRPr="002F71A2">
        <w:rPr>
          <w:rFonts w:ascii="Verdana" w:eastAsia="Times New Roman" w:hAnsi="Verdana" w:cs="Times New Roman"/>
          <w:bCs/>
          <w:sz w:val="20"/>
          <w:szCs w:val="20"/>
        </w:rPr>
        <w:t>intermodalità</w:t>
      </w:r>
      <w:proofErr w:type="spellEnd"/>
      <w:r w:rsidRPr="002F71A2">
        <w:rPr>
          <w:rFonts w:ascii="Verdana" w:eastAsia="Times New Roman" w:hAnsi="Verdana" w:cs="Times New Roman"/>
          <w:bCs/>
          <w:sz w:val="20"/>
          <w:szCs w:val="20"/>
        </w:rPr>
        <w:t>, cura del ferro, cura dell’acqua, sistemi di trasporto rapido di massa nelle città);</w:t>
      </w: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C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>oerente strategia d’</w:t>
      </w: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attuazione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del Piano nazionale Strategico della Portualità e della Logistica e della conseguente riforma della “</w:t>
      </w:r>
      <w:proofErr w:type="spellStart"/>
      <w:r w:rsidRPr="002F71A2">
        <w:rPr>
          <w:rFonts w:ascii="Verdana" w:eastAsia="Times New Roman" w:hAnsi="Verdana" w:cs="Times New Roman"/>
          <w:bCs/>
          <w:sz w:val="20"/>
          <w:szCs w:val="20"/>
        </w:rPr>
        <w:t>Governance</w:t>
      </w:r>
      <w:proofErr w:type="spell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portuale” con la piena operatività della Conferenza Nazionale di Coordinamento delle Autorità di Sistema Portuale, e del coinvolgimento dei rappresentanti degli operatori, per garantire l’originaria visione nazionale della riforma;</w:t>
      </w: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2F71A2">
        <w:rPr>
          <w:rFonts w:ascii="Verdana" w:eastAsia="Times New Roman" w:hAnsi="Verdana" w:cs="Times New Roman"/>
          <w:bCs/>
          <w:sz w:val="20"/>
          <w:szCs w:val="20"/>
        </w:rPr>
        <w:t>determinato</w:t>
      </w:r>
      <w:proofErr w:type="gram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perseguimento degli obiettivi fissati dalla </w:t>
      </w: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Direttiva DAFI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per l</w:t>
      </w:r>
      <w:r>
        <w:rPr>
          <w:rFonts w:ascii="Verdana" w:eastAsia="Times New Roman" w:hAnsi="Verdana" w:cs="Times New Roman"/>
          <w:bCs/>
          <w:sz w:val="20"/>
          <w:szCs w:val="20"/>
        </w:rPr>
        <w:t>a diffusione dell’infrastrutture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per i combustibili alternativi, per uno sviluppo, tecnologicamente neutrale, delle diverse alimentazioni alternative disponibili per le diverse tipologie di trasporto;</w:t>
      </w: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2F71A2">
        <w:rPr>
          <w:rFonts w:ascii="Verdana" w:eastAsia="Times New Roman" w:hAnsi="Verdana" w:cs="Times New Roman"/>
          <w:bCs/>
          <w:sz w:val="20"/>
          <w:szCs w:val="20"/>
        </w:rPr>
        <w:t>riforma</w:t>
      </w:r>
      <w:proofErr w:type="gram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del sistema di adempimenti amministrativi a carico dei vettori anche in tema di sicurezza, per renderlo efficace e non meramente burocratico/formale, coerente con le pratiche internazionali, proporzionato agli effettivi rischi, non discriminatorio e rispettoso delle esigenze di operatività delle imprese (Revisioni, Certificazioni di sicurezza ferroviaria e marittima);</w:t>
      </w:r>
    </w:p>
    <w:p w:rsidR="002F71A2" w:rsidRPr="002F71A2" w:rsidRDefault="002F71A2" w:rsidP="002F71A2">
      <w:pPr>
        <w:pStyle w:val="0TestoLev0"/>
        <w:numPr>
          <w:ilvl w:val="0"/>
          <w:numId w:val="7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2F71A2">
        <w:rPr>
          <w:rFonts w:ascii="Verdana" w:eastAsia="Times New Roman" w:hAnsi="Verdana" w:cs="Times New Roman"/>
          <w:bCs/>
          <w:sz w:val="20"/>
          <w:szCs w:val="20"/>
        </w:rPr>
        <w:t>nel</w:t>
      </w:r>
      <w:proofErr w:type="gram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trasporto ferroviario concreta adozione, anche in Italia, del modulo di equipaggio ad </w:t>
      </w:r>
      <w:r w:rsidRPr="002F71A2">
        <w:rPr>
          <w:rFonts w:ascii="Verdana" w:eastAsia="Times New Roman" w:hAnsi="Verdana" w:cs="Times New Roman"/>
          <w:b/>
          <w:bCs/>
          <w:sz w:val="20"/>
          <w:szCs w:val="20"/>
        </w:rPr>
        <w:t>"agente solo"</w:t>
      </w:r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superando la prassi risalente all’epoca dei treni a vapore di avere due operatori addetti alla condotta del treno (all’epoca, appunto, il macchinista e il fuochista) ora tecnicamente non più giustificata, </w:t>
      </w:r>
      <w:proofErr w:type="spellStart"/>
      <w:r w:rsidRPr="002F71A2">
        <w:rPr>
          <w:rFonts w:ascii="Verdana" w:eastAsia="Times New Roman" w:hAnsi="Verdana" w:cs="Times New Roman"/>
          <w:bCs/>
          <w:sz w:val="20"/>
          <w:szCs w:val="20"/>
        </w:rPr>
        <w:t>efficientamento</w:t>
      </w:r>
      <w:proofErr w:type="spellEnd"/>
      <w:r w:rsidRPr="002F71A2">
        <w:rPr>
          <w:rFonts w:ascii="Verdana" w:eastAsia="Times New Roman" w:hAnsi="Verdana" w:cs="Times New Roman"/>
          <w:bCs/>
          <w:sz w:val="20"/>
          <w:szCs w:val="20"/>
        </w:rPr>
        <w:t xml:space="preserve"> dell’attività di manovra ferroviaria e potenziamento dei terminal intermodali.</w:t>
      </w:r>
    </w:p>
    <w:p w:rsidR="00F960CA" w:rsidRPr="002F71A2" w:rsidRDefault="00F960CA" w:rsidP="002F71A2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</w:pPr>
    </w:p>
    <w:sectPr w:rsidR="00F960CA" w:rsidRPr="002F71A2" w:rsidSect="007B372B">
      <w:headerReference w:type="default" r:id="rId8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52" w:rsidRDefault="000B6E52" w:rsidP="00852BFB">
      <w:pPr>
        <w:spacing w:after="0" w:line="240" w:lineRule="auto"/>
      </w:pPr>
      <w:r>
        <w:separator/>
      </w:r>
    </w:p>
  </w:endnote>
  <w:endnote w:type="continuationSeparator" w:id="0">
    <w:p w:rsidR="000B6E52" w:rsidRDefault="000B6E52" w:rsidP="0085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LTStd-Bold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52" w:rsidRDefault="000B6E52" w:rsidP="00852BFB">
      <w:pPr>
        <w:spacing w:after="0" w:line="240" w:lineRule="auto"/>
      </w:pPr>
      <w:r>
        <w:separator/>
      </w:r>
    </w:p>
  </w:footnote>
  <w:footnote w:type="continuationSeparator" w:id="0">
    <w:p w:rsidR="000B6E52" w:rsidRDefault="000B6E52" w:rsidP="0085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52" w:rsidRDefault="003D5052" w:rsidP="00F0252E">
    <w:pPr>
      <w:pStyle w:val="Intestazione"/>
      <w:tabs>
        <w:tab w:val="clear" w:pos="4819"/>
        <w:tab w:val="clear" w:pos="9638"/>
        <w:tab w:val="left" w:pos="7485"/>
      </w:tabs>
    </w:pPr>
    <w:r>
      <w:rPr>
        <w:rFonts w:ascii="Verdana" w:hAnsi="Verdana"/>
        <w:b/>
        <w:noProof/>
        <w:lang w:eastAsia="it-IT"/>
      </w:rPr>
      <w:drawing>
        <wp:inline distT="0" distB="0" distL="0" distR="0" wp14:anchorId="78B7867F" wp14:editId="33AFA5B5">
          <wp:extent cx="1944000" cy="864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52E">
      <w:tab/>
    </w:r>
    <w:r w:rsidR="00F0252E">
      <w:rPr>
        <w:noProof/>
        <w:lang w:eastAsia="it-IT"/>
      </w:rPr>
      <w:drawing>
        <wp:inline distT="0" distB="0" distL="0" distR="0" wp14:anchorId="7474E199" wp14:editId="42FFAA69">
          <wp:extent cx="1080000" cy="1072800"/>
          <wp:effectExtent l="0" t="0" r="63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D50"/>
    <w:multiLevelType w:val="hybridMultilevel"/>
    <w:tmpl w:val="E6562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223"/>
    <w:multiLevelType w:val="hybridMultilevel"/>
    <w:tmpl w:val="190AF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4014"/>
    <w:multiLevelType w:val="hybridMultilevel"/>
    <w:tmpl w:val="FEE2B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5846"/>
    <w:multiLevelType w:val="hybridMultilevel"/>
    <w:tmpl w:val="EFECE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F11"/>
    <w:multiLevelType w:val="hybridMultilevel"/>
    <w:tmpl w:val="F43418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7281"/>
    <w:multiLevelType w:val="hybridMultilevel"/>
    <w:tmpl w:val="0472C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388D"/>
    <w:multiLevelType w:val="hybridMultilevel"/>
    <w:tmpl w:val="8C565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94"/>
    <w:rsid w:val="00041616"/>
    <w:rsid w:val="000459C2"/>
    <w:rsid w:val="00075BD3"/>
    <w:rsid w:val="00084E5C"/>
    <w:rsid w:val="00090C55"/>
    <w:rsid w:val="000B6E52"/>
    <w:rsid w:val="000C164E"/>
    <w:rsid w:val="000E7E0C"/>
    <w:rsid w:val="00103EA9"/>
    <w:rsid w:val="001143F2"/>
    <w:rsid w:val="00121894"/>
    <w:rsid w:val="00142578"/>
    <w:rsid w:val="001839C7"/>
    <w:rsid w:val="0019435C"/>
    <w:rsid w:val="001964DD"/>
    <w:rsid w:val="001B6A78"/>
    <w:rsid w:val="001C7CD4"/>
    <w:rsid w:val="001D3E0D"/>
    <w:rsid w:val="001E133F"/>
    <w:rsid w:val="00204EDD"/>
    <w:rsid w:val="00212567"/>
    <w:rsid w:val="002217A0"/>
    <w:rsid w:val="00224394"/>
    <w:rsid w:val="002345D6"/>
    <w:rsid w:val="00241528"/>
    <w:rsid w:val="002440C5"/>
    <w:rsid w:val="002515C6"/>
    <w:rsid w:val="00284554"/>
    <w:rsid w:val="00296AAE"/>
    <w:rsid w:val="002D252A"/>
    <w:rsid w:val="002D2589"/>
    <w:rsid w:val="002D716A"/>
    <w:rsid w:val="002F71A2"/>
    <w:rsid w:val="00312221"/>
    <w:rsid w:val="00314D8F"/>
    <w:rsid w:val="0034639F"/>
    <w:rsid w:val="0034687A"/>
    <w:rsid w:val="0035519A"/>
    <w:rsid w:val="0037539C"/>
    <w:rsid w:val="0038115E"/>
    <w:rsid w:val="003A4269"/>
    <w:rsid w:val="003A7596"/>
    <w:rsid w:val="003B3196"/>
    <w:rsid w:val="003C1413"/>
    <w:rsid w:val="003C6FB4"/>
    <w:rsid w:val="003D5052"/>
    <w:rsid w:val="00406B6D"/>
    <w:rsid w:val="004114EC"/>
    <w:rsid w:val="00426B3F"/>
    <w:rsid w:val="00436509"/>
    <w:rsid w:val="00443BE8"/>
    <w:rsid w:val="00455DDD"/>
    <w:rsid w:val="004611FF"/>
    <w:rsid w:val="0047310A"/>
    <w:rsid w:val="004D6813"/>
    <w:rsid w:val="005379E8"/>
    <w:rsid w:val="005401DD"/>
    <w:rsid w:val="00553BDE"/>
    <w:rsid w:val="00574179"/>
    <w:rsid w:val="00595CD6"/>
    <w:rsid w:val="005A0A2C"/>
    <w:rsid w:val="005C20D6"/>
    <w:rsid w:val="005F10B6"/>
    <w:rsid w:val="005F69D4"/>
    <w:rsid w:val="005F6A57"/>
    <w:rsid w:val="006046C2"/>
    <w:rsid w:val="00625E5E"/>
    <w:rsid w:val="00687DE4"/>
    <w:rsid w:val="006904B9"/>
    <w:rsid w:val="006A6613"/>
    <w:rsid w:val="006B5945"/>
    <w:rsid w:val="006E3ECF"/>
    <w:rsid w:val="006F022F"/>
    <w:rsid w:val="006F15CC"/>
    <w:rsid w:val="006F2FEB"/>
    <w:rsid w:val="00731797"/>
    <w:rsid w:val="007A7A84"/>
    <w:rsid w:val="007B0CA9"/>
    <w:rsid w:val="007B372B"/>
    <w:rsid w:val="007C3EBF"/>
    <w:rsid w:val="007C7840"/>
    <w:rsid w:val="007D6C95"/>
    <w:rsid w:val="008046D7"/>
    <w:rsid w:val="00811A96"/>
    <w:rsid w:val="00840F30"/>
    <w:rsid w:val="00844CC4"/>
    <w:rsid w:val="00846CCE"/>
    <w:rsid w:val="00852085"/>
    <w:rsid w:val="00852BFB"/>
    <w:rsid w:val="00853BF5"/>
    <w:rsid w:val="008544DF"/>
    <w:rsid w:val="008550CE"/>
    <w:rsid w:val="008742B8"/>
    <w:rsid w:val="008B2D3A"/>
    <w:rsid w:val="008B5D9C"/>
    <w:rsid w:val="008D1648"/>
    <w:rsid w:val="008D66F7"/>
    <w:rsid w:val="008F0F92"/>
    <w:rsid w:val="008F7A85"/>
    <w:rsid w:val="00942442"/>
    <w:rsid w:val="00942B2A"/>
    <w:rsid w:val="00952059"/>
    <w:rsid w:val="00961E80"/>
    <w:rsid w:val="00974EC0"/>
    <w:rsid w:val="009969C0"/>
    <w:rsid w:val="009B12AB"/>
    <w:rsid w:val="009D286A"/>
    <w:rsid w:val="009F06DA"/>
    <w:rsid w:val="00A057B4"/>
    <w:rsid w:val="00A212C5"/>
    <w:rsid w:val="00A234B8"/>
    <w:rsid w:val="00A3602F"/>
    <w:rsid w:val="00A6165F"/>
    <w:rsid w:val="00A67260"/>
    <w:rsid w:val="00A7293F"/>
    <w:rsid w:val="00A8790B"/>
    <w:rsid w:val="00AB5CFB"/>
    <w:rsid w:val="00AE0CC2"/>
    <w:rsid w:val="00AE0E65"/>
    <w:rsid w:val="00AF14D1"/>
    <w:rsid w:val="00AF4FE6"/>
    <w:rsid w:val="00B223DF"/>
    <w:rsid w:val="00B26F86"/>
    <w:rsid w:val="00B3339C"/>
    <w:rsid w:val="00B64809"/>
    <w:rsid w:val="00B80648"/>
    <w:rsid w:val="00B85A90"/>
    <w:rsid w:val="00BC2D87"/>
    <w:rsid w:val="00BF616F"/>
    <w:rsid w:val="00BF7318"/>
    <w:rsid w:val="00C02667"/>
    <w:rsid w:val="00C1556E"/>
    <w:rsid w:val="00C415E5"/>
    <w:rsid w:val="00C60F1F"/>
    <w:rsid w:val="00C84151"/>
    <w:rsid w:val="00C8433D"/>
    <w:rsid w:val="00C969BB"/>
    <w:rsid w:val="00CC355F"/>
    <w:rsid w:val="00CF029D"/>
    <w:rsid w:val="00D009EF"/>
    <w:rsid w:val="00D0100D"/>
    <w:rsid w:val="00D051D6"/>
    <w:rsid w:val="00D1531B"/>
    <w:rsid w:val="00D15FF7"/>
    <w:rsid w:val="00D16596"/>
    <w:rsid w:val="00D3428A"/>
    <w:rsid w:val="00D4237D"/>
    <w:rsid w:val="00D758C3"/>
    <w:rsid w:val="00D836F1"/>
    <w:rsid w:val="00DB2115"/>
    <w:rsid w:val="00DF6A4D"/>
    <w:rsid w:val="00E12575"/>
    <w:rsid w:val="00E128BD"/>
    <w:rsid w:val="00E3081E"/>
    <w:rsid w:val="00E34902"/>
    <w:rsid w:val="00E36858"/>
    <w:rsid w:val="00E55F8F"/>
    <w:rsid w:val="00E61704"/>
    <w:rsid w:val="00E8265C"/>
    <w:rsid w:val="00E83610"/>
    <w:rsid w:val="00EA0B58"/>
    <w:rsid w:val="00EB31D7"/>
    <w:rsid w:val="00ED22A3"/>
    <w:rsid w:val="00EE2D94"/>
    <w:rsid w:val="00F0252E"/>
    <w:rsid w:val="00F131E8"/>
    <w:rsid w:val="00F236EC"/>
    <w:rsid w:val="00F24527"/>
    <w:rsid w:val="00F42F57"/>
    <w:rsid w:val="00F73F76"/>
    <w:rsid w:val="00F76CC2"/>
    <w:rsid w:val="00F84945"/>
    <w:rsid w:val="00F87D94"/>
    <w:rsid w:val="00F960CA"/>
    <w:rsid w:val="00FB74EC"/>
    <w:rsid w:val="00FE5648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15F20-0CD8-4F98-8377-A3AAFF2D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3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2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BFB"/>
  </w:style>
  <w:style w:type="paragraph" w:styleId="Pidipagina">
    <w:name w:val="footer"/>
    <w:basedOn w:val="Normale"/>
    <w:link w:val="PidipaginaCarattere"/>
    <w:uiPriority w:val="99"/>
    <w:unhideWhenUsed/>
    <w:rsid w:val="00852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BFB"/>
  </w:style>
  <w:style w:type="paragraph" w:styleId="Paragrafoelenco">
    <w:name w:val="List Paragraph"/>
    <w:basedOn w:val="Normale"/>
    <w:uiPriority w:val="34"/>
    <w:qFormat/>
    <w:rsid w:val="0035519A"/>
    <w:pPr>
      <w:ind w:left="720"/>
      <w:contextualSpacing/>
    </w:pPr>
  </w:style>
  <w:style w:type="paragraph" w:customStyle="1" w:styleId="Nessunostileparagrafo">
    <w:name w:val="[Nessuno stile paragrafo]"/>
    <w:rsid w:val="001B6A7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it-IT"/>
    </w:rPr>
  </w:style>
  <w:style w:type="paragraph" w:customStyle="1" w:styleId="TABTitolo">
    <w:name w:val="TAB Titolo"/>
    <w:basedOn w:val="Nessunostileparagrafo"/>
    <w:next w:val="TABSottotitolo"/>
    <w:uiPriority w:val="99"/>
    <w:rsid w:val="001B6A78"/>
    <w:pPr>
      <w:suppressAutoHyphens/>
      <w:spacing w:before="227" w:after="57"/>
      <w:jc w:val="center"/>
    </w:pPr>
    <w:rPr>
      <w:rFonts w:ascii="FrutigerLTStd-BoldCn" w:hAnsi="FrutigerLTStd-BoldCn" w:cs="FrutigerLTStd-BoldCn"/>
      <w:b/>
      <w:bCs/>
      <w:color w:val="00447C"/>
    </w:rPr>
  </w:style>
  <w:style w:type="paragraph" w:customStyle="1" w:styleId="TABSottotitolo">
    <w:name w:val="TAB Sottotitolo"/>
    <w:basedOn w:val="TABTitolo"/>
    <w:next w:val="Normale"/>
    <w:uiPriority w:val="99"/>
    <w:rsid w:val="001B6A78"/>
    <w:pPr>
      <w:spacing w:before="0"/>
    </w:pPr>
    <w:rPr>
      <w:rFonts w:ascii="FrutigerLTStd-Cn" w:hAnsi="FrutigerLTStd-Cn" w:cs="FrutigerLTStd-Cn"/>
    </w:rPr>
  </w:style>
  <w:style w:type="paragraph" w:customStyle="1" w:styleId="TABFonte">
    <w:name w:val="TAB Fonte"/>
    <w:basedOn w:val="Nessunostileparagrafo"/>
    <w:uiPriority w:val="99"/>
    <w:rsid w:val="001B6A78"/>
    <w:pPr>
      <w:ind w:left="57"/>
      <w:jc w:val="both"/>
    </w:pPr>
    <w:rPr>
      <w:rFonts w:ascii="FrutigerLTStd-LightCn" w:hAnsi="FrutigerLTStd-LightCn" w:cs="FrutigerLTStd-LightCn"/>
      <w:color w:val="00447C"/>
      <w:sz w:val="18"/>
      <w:szCs w:val="18"/>
    </w:rPr>
  </w:style>
  <w:style w:type="paragraph" w:customStyle="1" w:styleId="TabAppTestoHeader">
    <w:name w:val="TabApp TestoHeader"/>
    <w:basedOn w:val="Nessunostileparagrafo"/>
    <w:uiPriority w:val="99"/>
    <w:rsid w:val="001B6A78"/>
    <w:pPr>
      <w:jc w:val="center"/>
    </w:pPr>
    <w:rPr>
      <w:rFonts w:ascii="FrutigerLTStd-BoldCn" w:hAnsi="FrutigerLTStd-BoldCn" w:cs="FrutigerLTStd-BoldCn"/>
      <w:b/>
      <w:bCs/>
      <w:color w:val="FFFFFF"/>
      <w:sz w:val="22"/>
      <w:szCs w:val="22"/>
    </w:rPr>
  </w:style>
  <w:style w:type="paragraph" w:customStyle="1" w:styleId="TabAppTestocentro">
    <w:name w:val="TabApp Testo (centro)"/>
    <w:basedOn w:val="Nessunostileparagrafo"/>
    <w:uiPriority w:val="99"/>
    <w:rsid w:val="001B6A78"/>
    <w:pPr>
      <w:suppressAutoHyphens/>
      <w:jc w:val="center"/>
    </w:pPr>
    <w:rPr>
      <w:rFonts w:ascii="FrutigerLTStd-LightCn" w:hAnsi="FrutigerLTStd-LightCn" w:cs="FrutigerLTStd-LightCn"/>
      <w:sz w:val="21"/>
      <w:szCs w:val="21"/>
    </w:rPr>
  </w:style>
  <w:style w:type="paragraph" w:customStyle="1" w:styleId="TabAppTestosx">
    <w:name w:val="TabApp Testo (sx)"/>
    <w:basedOn w:val="TabAppTestocentro"/>
    <w:uiPriority w:val="99"/>
    <w:rsid w:val="001B6A78"/>
    <w:pPr>
      <w:tabs>
        <w:tab w:val="left" w:pos="240"/>
        <w:tab w:val="left" w:pos="283"/>
      </w:tabs>
      <w:jc w:val="left"/>
    </w:pPr>
  </w:style>
  <w:style w:type="character" w:customStyle="1" w:styleId="italic">
    <w:name w:val="italic"/>
    <w:uiPriority w:val="99"/>
    <w:rsid w:val="001B6A78"/>
  </w:style>
  <w:style w:type="paragraph" w:customStyle="1" w:styleId="0Testo">
    <w:name w:val="0. Testo"/>
    <w:basedOn w:val="Nessunostileparagrafo"/>
    <w:uiPriority w:val="99"/>
    <w:rsid w:val="001B6A78"/>
    <w:pPr>
      <w:ind w:firstLine="567"/>
      <w:jc w:val="both"/>
    </w:pPr>
    <w:rPr>
      <w:rFonts w:ascii="FrutigerLTStd-Cn" w:eastAsiaTheme="minorHAnsi" w:hAnsi="FrutigerLTStd-Cn" w:cs="FrutigerLTStd-Cn"/>
      <w:lang w:eastAsia="en-US"/>
    </w:rPr>
  </w:style>
  <w:style w:type="character" w:customStyle="1" w:styleId="TabCondensed">
    <w:name w:val="TabCondensed"/>
    <w:uiPriority w:val="99"/>
    <w:rsid w:val="001B6A78"/>
  </w:style>
  <w:style w:type="paragraph" w:customStyle="1" w:styleId="Nota">
    <w:name w:val="Nota"/>
    <w:basedOn w:val="Nessunostileparagrafo"/>
    <w:uiPriority w:val="99"/>
    <w:rsid w:val="001B6A78"/>
    <w:pPr>
      <w:ind w:left="283" w:hanging="283"/>
      <w:jc w:val="both"/>
    </w:pPr>
    <w:rPr>
      <w:rFonts w:ascii="FrutigerLTStd-LightCn" w:eastAsiaTheme="minorHAnsi" w:hAnsi="FrutigerLTStd-LightCn" w:cs="FrutigerLTStd-LightCn"/>
      <w:sz w:val="18"/>
      <w:szCs w:val="18"/>
      <w:lang w:eastAsia="en-US"/>
    </w:rPr>
  </w:style>
  <w:style w:type="character" w:customStyle="1" w:styleId="Nota1">
    <w:name w:val="Nota1"/>
    <w:uiPriority w:val="99"/>
    <w:rsid w:val="001B6A78"/>
    <w:rPr>
      <w:color w:val="00447C"/>
      <w:position w:val="2"/>
      <w:sz w:val="24"/>
      <w:szCs w:val="24"/>
      <w:vertAlign w:val="superscript"/>
    </w:rPr>
  </w:style>
  <w:style w:type="character" w:customStyle="1" w:styleId="TabBold">
    <w:name w:val="TabBold"/>
    <w:uiPriority w:val="99"/>
    <w:rsid w:val="001B6A78"/>
    <w:rPr>
      <w:b/>
      <w:bCs/>
    </w:rPr>
  </w:style>
  <w:style w:type="paragraph" w:styleId="NormaleWeb">
    <w:name w:val="Normal (Web)"/>
    <w:basedOn w:val="Normale"/>
    <w:uiPriority w:val="99"/>
    <w:unhideWhenUsed/>
    <w:rsid w:val="00BF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12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12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12C5"/>
    <w:rPr>
      <w:vertAlign w:val="superscript"/>
    </w:rPr>
  </w:style>
  <w:style w:type="paragraph" w:customStyle="1" w:styleId="0TestoLev0">
    <w:name w:val="0. Testo Lev0"/>
    <w:basedOn w:val="Normale"/>
    <w:uiPriority w:val="99"/>
    <w:rsid w:val="002F71A2"/>
    <w:pPr>
      <w:widowControl w:val="0"/>
      <w:autoSpaceDE w:val="0"/>
      <w:autoSpaceDN w:val="0"/>
      <w:adjustRightInd w:val="0"/>
      <w:spacing w:after="0" w:line="288" w:lineRule="auto"/>
      <w:ind w:left="850" w:hanging="283"/>
      <w:jc w:val="both"/>
      <w:textAlignment w:val="center"/>
    </w:pPr>
    <w:rPr>
      <w:rFonts w:ascii="FrutigerLTStd-Cn" w:eastAsiaTheme="minorEastAsia" w:hAnsi="FrutigerLTStd-Cn" w:cs="FrutigerLTStd-C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Agenzie</dc:creator>
  <cp:lastModifiedBy>SegreteriaWks</cp:lastModifiedBy>
  <cp:revision>3</cp:revision>
  <cp:lastPrinted>2017-10-06T13:42:00Z</cp:lastPrinted>
  <dcterms:created xsi:type="dcterms:W3CDTF">2017-10-06T14:01:00Z</dcterms:created>
  <dcterms:modified xsi:type="dcterms:W3CDTF">2017-10-09T07:20:00Z</dcterms:modified>
</cp:coreProperties>
</file>