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4" w:rsidRDefault="00B85604" w:rsidP="00B85604">
      <w:pPr>
        <w:spacing w:line="240" w:lineRule="auto"/>
        <w:rPr>
          <w:rFonts w:ascii="Verdana" w:hAnsi="Verdana"/>
          <w:b/>
          <w:sz w:val="28"/>
          <w:szCs w:val="28"/>
        </w:rPr>
      </w:pPr>
      <w:r w:rsidRPr="008E1CF4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D5C195D" wp14:editId="2145B903">
            <wp:simplePos x="0" y="0"/>
            <wp:positionH relativeFrom="column">
              <wp:posOffset>2134235</wp:posOffset>
            </wp:positionH>
            <wp:positionV relativeFrom="paragraph">
              <wp:posOffset>-334645</wp:posOffset>
            </wp:positionV>
            <wp:extent cx="168529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242" y="21207"/>
                <wp:lineTo x="2124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604" w:rsidRPr="0001587C" w:rsidRDefault="00B85604" w:rsidP="007F143F">
      <w:pPr>
        <w:spacing w:line="240" w:lineRule="auto"/>
        <w:jc w:val="both"/>
        <w:rPr>
          <w:rFonts w:ascii="Verdana" w:hAnsi="Verdana"/>
          <w:sz w:val="28"/>
          <w:szCs w:val="28"/>
        </w:rPr>
      </w:pPr>
    </w:p>
    <w:p w:rsidR="00F92717" w:rsidRDefault="0001587C" w:rsidP="005B4CCB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5B4CCB">
        <w:rPr>
          <w:rFonts w:ascii="Verdana" w:hAnsi="Verdana"/>
          <w:i/>
          <w:sz w:val="24"/>
          <w:szCs w:val="24"/>
        </w:rPr>
        <w:tab/>
      </w:r>
    </w:p>
    <w:p w:rsidR="00A96FBA" w:rsidRPr="005A74D7" w:rsidRDefault="002D7398" w:rsidP="00352367">
      <w:pPr>
        <w:pStyle w:val="Defaul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</w:t>
      </w:r>
      <w:r w:rsidR="00A96FBA" w:rsidRPr="005A74D7">
        <w:rPr>
          <w:rFonts w:ascii="Verdana" w:hAnsi="Verdana"/>
          <w:b/>
        </w:rPr>
        <w:t>ambia il menù dei consumi culturali</w:t>
      </w:r>
    </w:p>
    <w:p w:rsidR="00A96FBA" w:rsidRPr="005A74D7" w:rsidRDefault="00A96FBA" w:rsidP="00352367">
      <w:pPr>
        <w:pStyle w:val="Default"/>
        <w:jc w:val="both"/>
        <w:rPr>
          <w:rFonts w:ascii="Verdana" w:hAnsi="Verdana"/>
        </w:rPr>
      </w:pPr>
      <w:r w:rsidRPr="005A74D7">
        <w:rPr>
          <w:rFonts w:ascii="Verdana" w:hAnsi="Verdana"/>
        </w:rPr>
        <w:t xml:space="preserve">L’effetto del </w:t>
      </w:r>
      <w:proofErr w:type="spellStart"/>
      <w:r w:rsidRPr="005A74D7">
        <w:rPr>
          <w:rFonts w:ascii="Verdana" w:hAnsi="Verdana"/>
        </w:rPr>
        <w:t>lockdown</w:t>
      </w:r>
      <w:proofErr w:type="spellEnd"/>
      <w:r w:rsidRPr="005A74D7">
        <w:rPr>
          <w:rFonts w:ascii="Verdana" w:hAnsi="Verdana"/>
        </w:rPr>
        <w:t xml:space="preserve"> imposto dalla pandemia di Covid-19 sull’offerta culturale è stato fortissimo.</w:t>
      </w:r>
    </w:p>
    <w:p w:rsidR="00A96FBA" w:rsidRPr="005A74D7" w:rsidRDefault="00A96FBA" w:rsidP="00352367">
      <w:pPr>
        <w:pStyle w:val="Default"/>
        <w:jc w:val="both"/>
        <w:rPr>
          <w:rFonts w:ascii="Verdana" w:hAnsi="Verdana"/>
        </w:rPr>
      </w:pPr>
      <w:r w:rsidRPr="005A74D7">
        <w:rPr>
          <w:rFonts w:ascii="Verdana" w:hAnsi="Verdana"/>
        </w:rPr>
        <w:t>La chiusura di cinema e teatri, il divieto di assembramento, la permanenza forzata nelle abitazioni ha fortemente inciso sulle pratiche di consumo culturale, azzerando completamente le esperienze dal vivo ed alimentando la fruizione domestica e via web.</w:t>
      </w:r>
    </w:p>
    <w:p w:rsidR="00F67B27" w:rsidRDefault="00A96FB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>Il nuovo menù dei consumi culturali sembra così muoversi a differenti velocità, con una forte crescita dei consumi e dei servizi digitali e un</w:t>
      </w:r>
      <w:r w:rsidR="001B009E">
        <w:rPr>
          <w:rFonts w:ascii="Verdana" w:hAnsi="Verdana"/>
          <w:sz w:val="24"/>
          <w:szCs w:val="24"/>
        </w:rPr>
        <w:t xml:space="preserve">a profonda crisi dell’offerta dal </w:t>
      </w:r>
      <w:r w:rsidRPr="005A74D7">
        <w:rPr>
          <w:rFonts w:ascii="Verdana" w:hAnsi="Verdana"/>
          <w:sz w:val="24"/>
          <w:szCs w:val="24"/>
        </w:rPr>
        <w:t xml:space="preserve">vivo. </w:t>
      </w:r>
    </w:p>
    <w:p w:rsidR="00F92717" w:rsidRDefault="00F9271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6FBA" w:rsidRPr="005A74D7" w:rsidRDefault="001B009E" w:rsidP="003523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Cresc</w:t>
      </w:r>
      <w:r w:rsidR="0045366F">
        <w:rPr>
          <w:rFonts w:ascii="Verdana" w:hAnsi="Verdana"/>
          <w:b/>
          <w:sz w:val="24"/>
          <w:szCs w:val="24"/>
        </w:rPr>
        <w:t xml:space="preserve">ono </w:t>
      </w:r>
      <w:r w:rsidR="00810171" w:rsidRPr="005A74D7">
        <w:rPr>
          <w:rFonts w:ascii="Verdana" w:hAnsi="Verdana"/>
          <w:b/>
          <w:sz w:val="24"/>
          <w:szCs w:val="24"/>
        </w:rPr>
        <w:t>i</w:t>
      </w:r>
      <w:r w:rsidR="00A96FBA" w:rsidRPr="005A74D7">
        <w:rPr>
          <w:rFonts w:ascii="Verdana" w:hAnsi="Verdana"/>
          <w:b/>
          <w:sz w:val="24"/>
          <w:szCs w:val="24"/>
        </w:rPr>
        <w:t xml:space="preserve"> consumi </w:t>
      </w:r>
      <w:r w:rsidR="00677489">
        <w:rPr>
          <w:rFonts w:ascii="Verdana" w:hAnsi="Verdana"/>
          <w:b/>
          <w:sz w:val="24"/>
          <w:szCs w:val="24"/>
        </w:rPr>
        <w:t xml:space="preserve">televisivi </w:t>
      </w:r>
      <w:r>
        <w:rPr>
          <w:rFonts w:ascii="Verdana" w:hAnsi="Verdana"/>
          <w:b/>
          <w:sz w:val="24"/>
          <w:szCs w:val="24"/>
        </w:rPr>
        <w:t xml:space="preserve">e </w:t>
      </w:r>
      <w:r w:rsidR="005A74D7" w:rsidRPr="005A74D7">
        <w:rPr>
          <w:rFonts w:ascii="Verdana" w:hAnsi="Verdana"/>
          <w:b/>
          <w:sz w:val="24"/>
          <w:szCs w:val="24"/>
        </w:rPr>
        <w:t>digitali</w:t>
      </w:r>
      <w:r w:rsidR="00677489">
        <w:rPr>
          <w:rFonts w:ascii="Verdana" w:hAnsi="Verdana"/>
          <w:b/>
          <w:sz w:val="24"/>
          <w:szCs w:val="24"/>
        </w:rPr>
        <w:t xml:space="preserve"> ma </w:t>
      </w:r>
      <w:r w:rsidR="008D71BC">
        <w:rPr>
          <w:rFonts w:ascii="Verdana" w:hAnsi="Verdana"/>
          <w:b/>
          <w:sz w:val="24"/>
          <w:szCs w:val="24"/>
        </w:rPr>
        <w:t>crisi per</w:t>
      </w:r>
      <w:r w:rsidR="005A74D7" w:rsidRPr="005A74D7">
        <w:rPr>
          <w:rFonts w:ascii="Verdana" w:hAnsi="Verdana"/>
          <w:b/>
          <w:sz w:val="24"/>
          <w:szCs w:val="24"/>
        </w:rPr>
        <w:t xml:space="preserve"> spettacoli </w:t>
      </w:r>
      <w:r w:rsidR="00A96FBA" w:rsidRPr="005A74D7">
        <w:rPr>
          <w:rFonts w:ascii="Verdana" w:hAnsi="Verdana"/>
          <w:b/>
          <w:sz w:val="24"/>
          <w:szCs w:val="24"/>
        </w:rPr>
        <w:t>dal vivo</w:t>
      </w:r>
      <w:r w:rsidR="0045366F">
        <w:rPr>
          <w:rFonts w:ascii="Verdana" w:hAnsi="Verdana"/>
          <w:b/>
          <w:sz w:val="24"/>
          <w:szCs w:val="24"/>
        </w:rPr>
        <w:t xml:space="preserve"> </w:t>
      </w:r>
    </w:p>
    <w:p w:rsidR="00A96FBA" w:rsidRDefault="00A87D2F" w:rsidP="00352367">
      <w:pPr>
        <w:pStyle w:val="Default"/>
        <w:jc w:val="both"/>
        <w:rPr>
          <w:rFonts w:ascii="Verdana" w:hAnsi="Verdana"/>
        </w:rPr>
      </w:pPr>
      <w:r w:rsidRPr="005A74D7">
        <w:rPr>
          <w:rFonts w:ascii="Verdana" w:hAnsi="Verdana"/>
        </w:rPr>
        <w:t>I</w:t>
      </w:r>
      <w:r w:rsidR="00A96FBA" w:rsidRPr="005A74D7">
        <w:rPr>
          <w:rFonts w:ascii="Verdana" w:hAnsi="Verdana"/>
        </w:rPr>
        <w:t xml:space="preserve"> vincoli imposti</w:t>
      </w:r>
      <w:r w:rsidRPr="005A74D7">
        <w:rPr>
          <w:rFonts w:ascii="Verdana" w:hAnsi="Verdana"/>
        </w:rPr>
        <w:t xml:space="preserve"> dall’emergenza del Covid-19 hanno</w:t>
      </w:r>
      <w:r w:rsidR="00A96FBA" w:rsidRPr="005A74D7">
        <w:rPr>
          <w:rFonts w:ascii="Verdana" w:hAnsi="Verdana"/>
        </w:rPr>
        <w:t xml:space="preserve"> portato ad una forte crescita dei consumi televisivi</w:t>
      </w:r>
      <w:r w:rsidR="000F744F">
        <w:rPr>
          <w:rFonts w:ascii="Verdana" w:hAnsi="Verdana"/>
        </w:rPr>
        <w:t xml:space="preserve"> </w:t>
      </w:r>
      <w:r w:rsidR="000F744F" w:rsidRPr="000F744F">
        <w:rPr>
          <w:rFonts w:ascii="Verdana" w:hAnsi="Verdana"/>
        </w:rPr>
        <w:t>(</w:t>
      </w:r>
      <w:r w:rsidR="00A04526">
        <w:rPr>
          <w:rFonts w:ascii="Verdana" w:hAnsi="Verdana"/>
        </w:rPr>
        <w:t xml:space="preserve">+47% durante il </w:t>
      </w:r>
      <w:proofErr w:type="spellStart"/>
      <w:r w:rsidR="00A04526">
        <w:rPr>
          <w:rFonts w:ascii="Verdana" w:hAnsi="Verdana"/>
        </w:rPr>
        <w:t>lockdown</w:t>
      </w:r>
      <w:proofErr w:type="spellEnd"/>
      <w:r w:rsidR="00A04526">
        <w:rPr>
          <w:rFonts w:ascii="Verdana" w:hAnsi="Verdana"/>
        </w:rPr>
        <w:t>)</w:t>
      </w:r>
      <w:r w:rsidR="00A96FBA" w:rsidRPr="005A74D7">
        <w:rPr>
          <w:rFonts w:ascii="Verdana" w:hAnsi="Verdana"/>
        </w:rPr>
        <w:t>, della lettura di libri</w:t>
      </w:r>
      <w:r w:rsidR="000F744F">
        <w:rPr>
          <w:rFonts w:ascii="Verdana" w:hAnsi="Verdana"/>
        </w:rPr>
        <w:t xml:space="preserve"> (</w:t>
      </w:r>
      <w:r w:rsidR="00A04526">
        <w:rPr>
          <w:rFonts w:ascii="Verdana" w:hAnsi="Verdana"/>
        </w:rPr>
        <w:t>+14</w:t>
      </w:r>
      <w:r w:rsidR="000F744F">
        <w:rPr>
          <w:rFonts w:ascii="Verdana" w:hAnsi="Verdana"/>
        </w:rPr>
        <w:t>%)</w:t>
      </w:r>
      <w:r w:rsidR="00A96FBA" w:rsidRPr="005A74D7">
        <w:rPr>
          <w:rFonts w:ascii="Verdana" w:hAnsi="Verdana"/>
        </w:rPr>
        <w:t xml:space="preserve"> e dell’ascolto di musica</w:t>
      </w:r>
      <w:r w:rsidR="000F744F">
        <w:rPr>
          <w:rFonts w:ascii="Verdana" w:hAnsi="Verdana"/>
        </w:rPr>
        <w:t xml:space="preserve"> (</w:t>
      </w:r>
      <w:r w:rsidR="00A04526">
        <w:rPr>
          <w:rFonts w:ascii="Verdana" w:hAnsi="Verdana"/>
        </w:rPr>
        <w:t>+7</w:t>
      </w:r>
      <w:r w:rsidR="000F744F">
        <w:rPr>
          <w:rFonts w:ascii="Verdana" w:hAnsi="Verdana"/>
        </w:rPr>
        <w:t>%)</w:t>
      </w:r>
      <w:r w:rsidR="00A90A37" w:rsidRPr="005A74D7">
        <w:rPr>
          <w:rFonts w:ascii="Verdana" w:hAnsi="Verdana"/>
          <w:bCs/>
        </w:rPr>
        <w:t xml:space="preserve">, mentre </w:t>
      </w:r>
      <w:r w:rsidR="002D0696">
        <w:rPr>
          <w:rFonts w:ascii="Verdana" w:hAnsi="Verdana"/>
          <w:bCs/>
        </w:rPr>
        <w:t>è diminuita la lettura</w:t>
      </w:r>
      <w:r w:rsidR="00A90A37" w:rsidRPr="005A74D7">
        <w:rPr>
          <w:rFonts w:ascii="Verdana" w:hAnsi="Verdana"/>
          <w:bCs/>
        </w:rPr>
        <w:t xml:space="preserve"> di fumetti</w:t>
      </w:r>
      <w:r w:rsidR="00A04526">
        <w:rPr>
          <w:rFonts w:ascii="Verdana" w:hAnsi="Verdana"/>
          <w:bCs/>
        </w:rPr>
        <w:t xml:space="preserve"> (-27%)</w:t>
      </w:r>
      <w:r w:rsidR="00A90A37" w:rsidRPr="005A74D7">
        <w:rPr>
          <w:rFonts w:ascii="Verdana" w:hAnsi="Verdana"/>
          <w:bCs/>
        </w:rPr>
        <w:t xml:space="preserve"> e riviste</w:t>
      </w:r>
      <w:r w:rsidR="00A04526">
        <w:rPr>
          <w:rFonts w:ascii="Verdana" w:hAnsi="Verdana"/>
          <w:bCs/>
        </w:rPr>
        <w:t xml:space="preserve"> (-10%)</w:t>
      </w:r>
      <w:r w:rsidR="00A96FBA" w:rsidRPr="005A74D7">
        <w:rPr>
          <w:rFonts w:ascii="Verdana" w:hAnsi="Verdana"/>
        </w:rPr>
        <w:t>.</w:t>
      </w:r>
    </w:p>
    <w:p w:rsidR="0054562D" w:rsidRDefault="0054562D" w:rsidP="00352367">
      <w:pPr>
        <w:pStyle w:val="Default"/>
        <w:jc w:val="both"/>
        <w:rPr>
          <w:rFonts w:ascii="Verdana" w:hAnsi="Verdana"/>
        </w:rPr>
      </w:pPr>
    </w:p>
    <w:p w:rsidR="002D0696" w:rsidRDefault="002D0696" w:rsidP="00352367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2D0696">
        <w:rPr>
          <w:rFonts w:ascii="Verdana" w:hAnsi="Verdana" w:cs="Arial"/>
          <w:b/>
          <w:sz w:val="22"/>
          <w:szCs w:val="22"/>
        </w:rPr>
        <w:t xml:space="preserve">Fig. 1 – </w:t>
      </w:r>
      <w:r w:rsidRPr="002D0696">
        <w:rPr>
          <w:rFonts w:ascii="Verdana" w:hAnsi="Verdana"/>
          <w:b/>
          <w:sz w:val="22"/>
          <w:szCs w:val="22"/>
        </w:rPr>
        <w:t>Le attività legate alla cultura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54562D" w:rsidRPr="00B85604" w:rsidRDefault="009340C0" w:rsidP="00352367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45093C6" wp14:editId="525BEE61">
            <wp:extent cx="4219575" cy="2398946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369" cy="239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2D" w:rsidRDefault="0054562D" w:rsidP="00352367">
      <w:pPr>
        <w:pStyle w:val="Default"/>
        <w:jc w:val="both"/>
        <w:rPr>
          <w:rFonts w:ascii="Verdana" w:hAnsi="Verdana"/>
        </w:rPr>
      </w:pPr>
    </w:p>
    <w:p w:rsidR="0054562D" w:rsidRPr="008E1CF4" w:rsidRDefault="0054562D" w:rsidP="0054562D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54562D" w:rsidRPr="005A74D7" w:rsidRDefault="0054562D" w:rsidP="00352367">
      <w:pPr>
        <w:pStyle w:val="Default"/>
        <w:jc w:val="both"/>
        <w:rPr>
          <w:rFonts w:ascii="Verdana" w:hAnsi="Verdana"/>
        </w:rPr>
      </w:pPr>
    </w:p>
    <w:p w:rsidR="00A96FBA" w:rsidRDefault="00A96FB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>Tra i consumi televisivi</w:t>
      </w:r>
      <w:r w:rsidR="00BD3206" w:rsidRPr="005A74D7">
        <w:rPr>
          <w:rFonts w:ascii="Verdana" w:hAnsi="Verdana"/>
          <w:sz w:val="24"/>
          <w:szCs w:val="24"/>
        </w:rPr>
        <w:t>, oltre ai canali tv tradizionali,</w:t>
      </w:r>
      <w:r w:rsidRPr="005A74D7">
        <w:rPr>
          <w:rFonts w:ascii="Verdana" w:hAnsi="Verdana"/>
          <w:sz w:val="24"/>
          <w:szCs w:val="24"/>
        </w:rPr>
        <w:t xml:space="preserve"> si </w:t>
      </w:r>
      <w:r w:rsidR="00A87D2F" w:rsidRPr="005A74D7">
        <w:rPr>
          <w:rFonts w:ascii="Verdana" w:hAnsi="Verdana"/>
          <w:sz w:val="24"/>
          <w:szCs w:val="24"/>
        </w:rPr>
        <w:t>segnala un significativo aumento</w:t>
      </w:r>
      <w:r w:rsidRPr="005A74D7">
        <w:rPr>
          <w:rFonts w:ascii="Verdana" w:hAnsi="Verdana"/>
          <w:sz w:val="24"/>
          <w:szCs w:val="24"/>
        </w:rPr>
        <w:t xml:space="preserve"> dell’utilizzo di piattaforme web in abbonamento</w:t>
      </w:r>
      <w:r w:rsidR="00446100" w:rsidRPr="005A74D7">
        <w:rPr>
          <w:rFonts w:ascii="Verdana" w:hAnsi="Verdana"/>
          <w:sz w:val="24"/>
          <w:szCs w:val="24"/>
        </w:rPr>
        <w:t xml:space="preserve"> (per il 34%)</w:t>
      </w:r>
      <w:r w:rsidRPr="005A74D7">
        <w:rPr>
          <w:rFonts w:ascii="Verdana" w:hAnsi="Verdana"/>
          <w:sz w:val="24"/>
          <w:szCs w:val="24"/>
        </w:rPr>
        <w:t xml:space="preserve"> </w:t>
      </w:r>
      <w:r w:rsidR="00446100" w:rsidRPr="005A74D7">
        <w:rPr>
          <w:rFonts w:ascii="Verdana" w:hAnsi="Verdana"/>
          <w:sz w:val="24"/>
          <w:szCs w:val="24"/>
        </w:rPr>
        <w:t xml:space="preserve">e, più in generale, dei canali a </w:t>
      </w:r>
      <w:r w:rsidRPr="005A74D7">
        <w:rPr>
          <w:rFonts w:ascii="Verdana" w:hAnsi="Verdana"/>
          <w:sz w:val="24"/>
          <w:szCs w:val="24"/>
        </w:rPr>
        <w:t>pagamento</w:t>
      </w:r>
      <w:r w:rsidR="00446100" w:rsidRPr="005A74D7">
        <w:rPr>
          <w:rFonts w:ascii="Verdana" w:hAnsi="Verdana"/>
          <w:sz w:val="24"/>
          <w:szCs w:val="24"/>
        </w:rPr>
        <w:t xml:space="preserve"> (per </w:t>
      </w:r>
      <w:r w:rsidR="00C52011">
        <w:rPr>
          <w:rFonts w:ascii="Verdana" w:hAnsi="Verdana"/>
          <w:sz w:val="24"/>
          <w:szCs w:val="24"/>
        </w:rPr>
        <w:t xml:space="preserve">il </w:t>
      </w:r>
      <w:r w:rsidR="00366385" w:rsidRPr="005A74D7">
        <w:rPr>
          <w:rFonts w:ascii="Verdana" w:hAnsi="Verdana"/>
          <w:sz w:val="24"/>
          <w:szCs w:val="24"/>
        </w:rPr>
        <w:t>20%)</w:t>
      </w:r>
      <w:r w:rsidRPr="005A74D7">
        <w:rPr>
          <w:rFonts w:ascii="Verdana" w:hAnsi="Verdana"/>
          <w:sz w:val="24"/>
          <w:szCs w:val="24"/>
        </w:rPr>
        <w:t>.</w:t>
      </w:r>
      <w:r w:rsidR="00B46BD1">
        <w:rPr>
          <w:rFonts w:ascii="Verdana" w:hAnsi="Verdana"/>
          <w:sz w:val="24"/>
          <w:szCs w:val="24"/>
        </w:rPr>
        <w:t xml:space="preserve"> </w:t>
      </w:r>
    </w:p>
    <w:p w:rsidR="009D2FDC" w:rsidRDefault="009D2FDC" w:rsidP="002D0696">
      <w:pPr>
        <w:pStyle w:val="Default"/>
        <w:jc w:val="both"/>
        <w:rPr>
          <w:rFonts w:ascii="Verdana" w:hAnsi="Verdana" w:cs="Arial"/>
          <w:b/>
          <w:sz w:val="22"/>
          <w:szCs w:val="22"/>
        </w:rPr>
      </w:pPr>
    </w:p>
    <w:p w:rsidR="002D0696" w:rsidRDefault="002D0696" w:rsidP="002D0696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2D0696">
        <w:rPr>
          <w:rFonts w:ascii="Verdana" w:hAnsi="Verdana" w:cs="Arial"/>
          <w:b/>
          <w:sz w:val="22"/>
          <w:szCs w:val="22"/>
        </w:rPr>
        <w:t xml:space="preserve">Fig. </w:t>
      </w:r>
      <w:r>
        <w:rPr>
          <w:rFonts w:ascii="Verdana" w:hAnsi="Verdana" w:cs="Arial"/>
          <w:b/>
          <w:sz w:val="22"/>
          <w:szCs w:val="22"/>
        </w:rPr>
        <w:t>2</w:t>
      </w:r>
      <w:r w:rsidRPr="002D0696">
        <w:rPr>
          <w:rFonts w:ascii="Verdana" w:hAnsi="Verdana" w:cs="Arial"/>
          <w:b/>
          <w:sz w:val="22"/>
          <w:szCs w:val="22"/>
        </w:rPr>
        <w:t xml:space="preserve"> – </w:t>
      </w:r>
      <w:r w:rsidRPr="002D0696">
        <w:rPr>
          <w:rFonts w:ascii="Verdana" w:hAnsi="Verdana"/>
          <w:b/>
          <w:sz w:val="22"/>
          <w:szCs w:val="22"/>
        </w:rPr>
        <w:t>L</w:t>
      </w:r>
      <w:r w:rsidR="00ED1F38">
        <w:rPr>
          <w:rFonts w:ascii="Verdana" w:hAnsi="Verdana"/>
          <w:b/>
          <w:sz w:val="22"/>
          <w:szCs w:val="22"/>
        </w:rPr>
        <w:t>e modalità di</w:t>
      </w:r>
      <w:r>
        <w:rPr>
          <w:rFonts w:ascii="Verdana" w:hAnsi="Verdana"/>
          <w:b/>
          <w:sz w:val="22"/>
          <w:szCs w:val="22"/>
        </w:rPr>
        <w:t xml:space="preserve"> fruizione d</w:t>
      </w:r>
      <w:r w:rsidR="00ED1F38"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b/>
          <w:sz w:val="22"/>
          <w:szCs w:val="22"/>
        </w:rPr>
        <w:t>i contenuti televisivi</w:t>
      </w:r>
      <w:r w:rsidR="00ED1F38">
        <w:rPr>
          <w:rFonts w:ascii="Verdana" w:hAnsi="Verdana"/>
          <w:b/>
          <w:sz w:val="22"/>
          <w:szCs w:val="22"/>
        </w:rPr>
        <w:t xml:space="preserve"> </w:t>
      </w:r>
    </w:p>
    <w:p w:rsidR="00EA2341" w:rsidRPr="005A74D7" w:rsidRDefault="00EA2341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18B24EF0" wp14:editId="0B8B1C17">
            <wp:extent cx="5000625" cy="2644008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404" cy="26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7" w:rsidRPr="008E1CF4" w:rsidRDefault="00352367" w:rsidP="00352367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7F143F" w:rsidRDefault="007F143F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717" w:rsidRDefault="00F9271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6FBA" w:rsidRDefault="00A96FB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 xml:space="preserve">Lo switch verso il digitale è stato particolarmente forte </w:t>
      </w:r>
      <w:r w:rsidR="00706C8A" w:rsidRPr="005A74D7">
        <w:rPr>
          <w:rFonts w:ascii="Verdana" w:hAnsi="Verdana"/>
          <w:sz w:val="24"/>
          <w:szCs w:val="24"/>
        </w:rPr>
        <w:t xml:space="preserve">per </w:t>
      </w:r>
      <w:r w:rsidR="00366385" w:rsidRPr="005A74D7">
        <w:rPr>
          <w:rFonts w:ascii="Verdana" w:hAnsi="Verdana"/>
          <w:sz w:val="24"/>
          <w:szCs w:val="24"/>
        </w:rPr>
        <w:t>i quotidiani</w:t>
      </w:r>
      <w:r w:rsidR="00B75D59">
        <w:rPr>
          <w:rFonts w:ascii="Verdana" w:hAnsi="Verdana"/>
          <w:sz w:val="24"/>
          <w:szCs w:val="24"/>
        </w:rPr>
        <w:t xml:space="preserve">, </w:t>
      </w:r>
      <w:r w:rsidR="00366385" w:rsidRPr="005A74D7">
        <w:rPr>
          <w:rFonts w:ascii="Verdana" w:hAnsi="Verdana"/>
          <w:sz w:val="24"/>
          <w:szCs w:val="24"/>
        </w:rPr>
        <w:t>riviste</w:t>
      </w:r>
      <w:r w:rsidR="00B75D59" w:rsidRPr="00B75D59">
        <w:rPr>
          <w:rFonts w:ascii="Verdana" w:hAnsi="Verdana"/>
          <w:sz w:val="24"/>
          <w:szCs w:val="24"/>
        </w:rPr>
        <w:t xml:space="preserve"> </w:t>
      </w:r>
      <w:r w:rsidR="00B75D59">
        <w:rPr>
          <w:rFonts w:ascii="Verdana" w:hAnsi="Verdana"/>
          <w:sz w:val="24"/>
          <w:szCs w:val="24"/>
        </w:rPr>
        <w:t>e fumetti</w:t>
      </w:r>
      <w:r w:rsidR="00366385" w:rsidRPr="005A74D7">
        <w:rPr>
          <w:rFonts w:ascii="Verdana" w:hAnsi="Verdana"/>
          <w:sz w:val="24"/>
          <w:szCs w:val="24"/>
        </w:rPr>
        <w:t xml:space="preserve">. </w:t>
      </w:r>
      <w:r w:rsidR="00706C8A" w:rsidRPr="005A74D7">
        <w:rPr>
          <w:rFonts w:ascii="Verdana" w:hAnsi="Verdana"/>
          <w:sz w:val="24"/>
          <w:szCs w:val="24"/>
        </w:rPr>
        <w:t>D</w:t>
      </w:r>
      <w:r w:rsidRPr="005A74D7">
        <w:rPr>
          <w:rFonts w:ascii="Verdana" w:hAnsi="Verdana"/>
          <w:sz w:val="24"/>
          <w:szCs w:val="24"/>
        </w:rPr>
        <w:t xml:space="preserve">urante il </w:t>
      </w:r>
      <w:proofErr w:type="spellStart"/>
      <w:r w:rsidRPr="005A74D7">
        <w:rPr>
          <w:rFonts w:ascii="Verdana" w:hAnsi="Verdana"/>
          <w:sz w:val="24"/>
          <w:szCs w:val="24"/>
        </w:rPr>
        <w:t>lockdown</w:t>
      </w:r>
      <w:proofErr w:type="spellEnd"/>
      <w:r w:rsidRPr="005A74D7">
        <w:rPr>
          <w:rFonts w:ascii="Verdana" w:hAnsi="Verdana"/>
          <w:sz w:val="24"/>
          <w:szCs w:val="24"/>
        </w:rPr>
        <w:t xml:space="preserve"> un lettore su sei </w:t>
      </w:r>
      <w:r w:rsidR="00A87D2F" w:rsidRPr="005A74D7">
        <w:rPr>
          <w:rFonts w:ascii="Verdana" w:hAnsi="Verdana"/>
          <w:sz w:val="24"/>
          <w:szCs w:val="24"/>
        </w:rPr>
        <w:t xml:space="preserve">ha dichiarato </w:t>
      </w:r>
      <w:r w:rsidRPr="005A74D7">
        <w:rPr>
          <w:rFonts w:ascii="Verdana" w:hAnsi="Verdana"/>
          <w:sz w:val="24"/>
          <w:szCs w:val="24"/>
        </w:rPr>
        <w:t xml:space="preserve">di avere abbandonato </w:t>
      </w:r>
      <w:r w:rsidR="00366385" w:rsidRPr="005A74D7">
        <w:rPr>
          <w:rFonts w:ascii="Verdana" w:hAnsi="Verdana"/>
          <w:sz w:val="24"/>
          <w:szCs w:val="24"/>
        </w:rPr>
        <w:t>la versione</w:t>
      </w:r>
      <w:r w:rsidRPr="005A74D7">
        <w:rPr>
          <w:rFonts w:ascii="Verdana" w:hAnsi="Verdana"/>
          <w:sz w:val="24"/>
          <w:szCs w:val="24"/>
        </w:rPr>
        <w:t xml:space="preserve"> cartacea</w:t>
      </w:r>
      <w:r w:rsidR="00706C8A" w:rsidRPr="005A74D7">
        <w:rPr>
          <w:rFonts w:ascii="Verdana" w:hAnsi="Verdana"/>
          <w:sz w:val="24"/>
          <w:szCs w:val="24"/>
        </w:rPr>
        <w:t xml:space="preserve"> in favore di quella digitale. </w:t>
      </w:r>
      <w:r w:rsidR="002D0696">
        <w:rPr>
          <w:rFonts w:ascii="Verdana" w:hAnsi="Verdana"/>
          <w:sz w:val="24"/>
          <w:szCs w:val="24"/>
        </w:rPr>
        <w:t>Regge</w:t>
      </w:r>
      <w:r w:rsidR="00706C8A" w:rsidRPr="005A74D7">
        <w:rPr>
          <w:rFonts w:ascii="Verdana" w:hAnsi="Verdana"/>
          <w:sz w:val="24"/>
          <w:szCs w:val="24"/>
        </w:rPr>
        <w:t xml:space="preserve">, invece, la </w:t>
      </w:r>
      <w:r w:rsidRPr="005A74D7">
        <w:rPr>
          <w:rFonts w:ascii="Verdana" w:hAnsi="Verdana"/>
          <w:sz w:val="24"/>
          <w:szCs w:val="24"/>
        </w:rPr>
        <w:t xml:space="preserve">lettura </w:t>
      </w:r>
      <w:r w:rsidR="00706C8A" w:rsidRPr="005A74D7">
        <w:rPr>
          <w:rFonts w:ascii="Verdana" w:hAnsi="Verdana"/>
          <w:sz w:val="24"/>
          <w:szCs w:val="24"/>
        </w:rPr>
        <w:t xml:space="preserve">tradizionale </w:t>
      </w:r>
      <w:r w:rsidRPr="005A74D7">
        <w:rPr>
          <w:rFonts w:ascii="Verdana" w:hAnsi="Verdana"/>
          <w:sz w:val="24"/>
          <w:szCs w:val="24"/>
        </w:rPr>
        <w:t>dei libri</w:t>
      </w:r>
      <w:r w:rsidR="00706C8A" w:rsidRPr="005A74D7">
        <w:rPr>
          <w:rFonts w:ascii="Verdana" w:hAnsi="Verdana"/>
          <w:sz w:val="24"/>
          <w:szCs w:val="24"/>
        </w:rPr>
        <w:t xml:space="preserve"> </w:t>
      </w:r>
      <w:r w:rsidR="00A87D2F" w:rsidRPr="005A74D7">
        <w:rPr>
          <w:rFonts w:ascii="Verdana" w:hAnsi="Verdana"/>
          <w:sz w:val="24"/>
          <w:szCs w:val="24"/>
        </w:rPr>
        <w:t>sebbene,</w:t>
      </w:r>
      <w:r w:rsidRPr="005A74D7">
        <w:rPr>
          <w:rFonts w:ascii="Verdana" w:hAnsi="Verdana"/>
          <w:sz w:val="24"/>
          <w:szCs w:val="24"/>
        </w:rPr>
        <w:t xml:space="preserve"> anche in questo caso, l’8% dei lettori </w:t>
      </w:r>
      <w:r w:rsidR="00A90A37" w:rsidRPr="005A74D7">
        <w:rPr>
          <w:rFonts w:ascii="Verdana" w:hAnsi="Verdana"/>
          <w:sz w:val="24"/>
          <w:szCs w:val="24"/>
        </w:rPr>
        <w:t>sia</w:t>
      </w:r>
      <w:r w:rsidR="00BC28D3" w:rsidRPr="005A74D7">
        <w:rPr>
          <w:rFonts w:ascii="Verdana" w:hAnsi="Verdana"/>
          <w:sz w:val="24"/>
          <w:szCs w:val="24"/>
        </w:rPr>
        <w:t xml:space="preserve"> passato in questi mesi </w:t>
      </w:r>
      <w:r w:rsidR="00BD3206" w:rsidRPr="005A74D7">
        <w:rPr>
          <w:rFonts w:ascii="Verdana" w:hAnsi="Verdana"/>
          <w:sz w:val="24"/>
          <w:szCs w:val="24"/>
        </w:rPr>
        <w:t>all’e-book</w:t>
      </w:r>
      <w:r w:rsidRPr="005A74D7">
        <w:rPr>
          <w:rFonts w:ascii="Verdana" w:hAnsi="Verdana"/>
          <w:sz w:val="24"/>
          <w:szCs w:val="24"/>
        </w:rPr>
        <w:t>.</w:t>
      </w:r>
    </w:p>
    <w:p w:rsidR="00B75D59" w:rsidRDefault="00B75D59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F38" w:rsidRPr="00ED1F38" w:rsidRDefault="00ED1F38" w:rsidP="00352367">
      <w:pPr>
        <w:spacing w:after="0" w:line="240" w:lineRule="auto"/>
        <w:jc w:val="both"/>
        <w:rPr>
          <w:rFonts w:ascii="Verdana" w:hAnsi="Verdana"/>
          <w:b/>
        </w:rPr>
      </w:pPr>
      <w:r w:rsidRPr="00ED1F38">
        <w:rPr>
          <w:rFonts w:ascii="Verdana" w:hAnsi="Verdana"/>
          <w:b/>
        </w:rPr>
        <w:t>Fig. 3 – Lo switch verso il digitale</w:t>
      </w:r>
    </w:p>
    <w:p w:rsidR="00B75D59" w:rsidRDefault="00B75D59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2C15C18" wp14:editId="7EF6F854">
            <wp:extent cx="5457825" cy="3065511"/>
            <wp:effectExtent l="0" t="0" r="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8400" cy="30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3C" w:rsidRPr="008E1CF4" w:rsidRDefault="00626A3C" w:rsidP="00626A3C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B75D59" w:rsidRPr="005A74D7" w:rsidRDefault="00B75D59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4229" w:rsidRDefault="00A90A3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 xml:space="preserve">Al contrario, </w:t>
      </w:r>
      <w:r w:rsidR="00A96FBA" w:rsidRPr="005A74D7">
        <w:rPr>
          <w:rFonts w:ascii="Verdana" w:hAnsi="Verdana"/>
          <w:sz w:val="24"/>
          <w:szCs w:val="24"/>
        </w:rPr>
        <w:t>gli spettacoli dal</w:t>
      </w:r>
      <w:r w:rsidR="00A87D2F" w:rsidRPr="005A74D7">
        <w:rPr>
          <w:rFonts w:ascii="Verdana" w:hAnsi="Verdana"/>
          <w:sz w:val="24"/>
          <w:szCs w:val="24"/>
        </w:rPr>
        <w:t xml:space="preserve"> </w:t>
      </w:r>
      <w:r w:rsidR="00A96FBA" w:rsidRPr="005A74D7">
        <w:rPr>
          <w:rFonts w:ascii="Verdana" w:hAnsi="Verdana"/>
          <w:sz w:val="24"/>
          <w:szCs w:val="24"/>
        </w:rPr>
        <w:t>vivo</w:t>
      </w:r>
      <w:r w:rsidR="00DD3E24">
        <w:rPr>
          <w:rFonts w:ascii="Verdana" w:hAnsi="Verdana"/>
          <w:sz w:val="24"/>
          <w:szCs w:val="24"/>
        </w:rPr>
        <w:t xml:space="preserve"> in digitale</w:t>
      </w:r>
      <w:r w:rsidR="00A96FBA" w:rsidRPr="005A74D7">
        <w:rPr>
          <w:rFonts w:ascii="Verdana" w:hAnsi="Verdana"/>
          <w:sz w:val="24"/>
          <w:szCs w:val="24"/>
        </w:rPr>
        <w:t xml:space="preserve"> non </w:t>
      </w:r>
      <w:r w:rsidRPr="005A74D7">
        <w:rPr>
          <w:rFonts w:ascii="Verdana" w:hAnsi="Verdana"/>
          <w:sz w:val="24"/>
          <w:szCs w:val="24"/>
        </w:rPr>
        <w:t>sembra</w:t>
      </w:r>
      <w:r w:rsidR="00DD3E24">
        <w:rPr>
          <w:rFonts w:ascii="Verdana" w:hAnsi="Verdana"/>
          <w:sz w:val="24"/>
          <w:szCs w:val="24"/>
        </w:rPr>
        <w:t xml:space="preserve">no avere avuto un </w:t>
      </w:r>
      <w:r w:rsidR="00CE271B">
        <w:rPr>
          <w:rFonts w:ascii="Verdana" w:hAnsi="Verdana"/>
          <w:sz w:val="24"/>
          <w:szCs w:val="24"/>
        </w:rPr>
        <w:t>successo</w:t>
      </w:r>
      <w:r w:rsidR="00DD3E24">
        <w:rPr>
          <w:rFonts w:ascii="Verdana" w:hAnsi="Verdana"/>
          <w:sz w:val="24"/>
          <w:szCs w:val="24"/>
        </w:rPr>
        <w:t xml:space="preserve"> significativo </w:t>
      </w:r>
      <w:r w:rsidR="00060C40">
        <w:rPr>
          <w:rFonts w:ascii="Verdana" w:hAnsi="Verdana"/>
          <w:sz w:val="24"/>
          <w:szCs w:val="24"/>
        </w:rPr>
        <w:t xml:space="preserve">e sono stati seguiti principalmente da </w:t>
      </w:r>
      <w:r w:rsidR="00A96FBA" w:rsidRPr="005A74D7">
        <w:rPr>
          <w:rFonts w:ascii="Verdana" w:hAnsi="Verdana"/>
          <w:sz w:val="24"/>
          <w:szCs w:val="24"/>
        </w:rPr>
        <w:t>qu</w:t>
      </w:r>
      <w:r w:rsidR="00A87D2F" w:rsidRPr="005A74D7">
        <w:rPr>
          <w:rFonts w:ascii="Verdana" w:hAnsi="Verdana"/>
          <w:sz w:val="24"/>
          <w:szCs w:val="24"/>
        </w:rPr>
        <w:t>e</w:t>
      </w:r>
      <w:r w:rsidR="00A96FBA" w:rsidRPr="005A74D7">
        <w:rPr>
          <w:rFonts w:ascii="Verdana" w:hAnsi="Verdana"/>
          <w:sz w:val="24"/>
          <w:szCs w:val="24"/>
        </w:rPr>
        <w:t>i fruitori che già prima d</w:t>
      </w:r>
      <w:r w:rsidR="00A87D2F" w:rsidRPr="005A74D7">
        <w:rPr>
          <w:rFonts w:ascii="Verdana" w:hAnsi="Verdana"/>
          <w:sz w:val="24"/>
          <w:szCs w:val="24"/>
        </w:rPr>
        <w:t xml:space="preserve">el Coronavirus </w:t>
      </w:r>
      <w:r w:rsidR="00A96FBA" w:rsidRPr="005A74D7">
        <w:rPr>
          <w:rFonts w:ascii="Verdana" w:hAnsi="Verdana"/>
          <w:sz w:val="24"/>
          <w:szCs w:val="24"/>
        </w:rPr>
        <w:t>tendevano a</w:t>
      </w:r>
      <w:r w:rsidR="00DD3E24">
        <w:rPr>
          <w:rFonts w:ascii="Verdana" w:hAnsi="Verdana"/>
          <w:sz w:val="24"/>
          <w:szCs w:val="24"/>
        </w:rPr>
        <w:t xml:space="preserve">d assistere a queste attività </w:t>
      </w:r>
      <w:r w:rsidR="00270F6F">
        <w:rPr>
          <w:rFonts w:ascii="Verdana" w:hAnsi="Verdana"/>
          <w:sz w:val="24"/>
          <w:szCs w:val="24"/>
        </w:rPr>
        <w:t>soprattutto</w:t>
      </w:r>
      <w:r w:rsidR="00A96FBA" w:rsidRPr="005A74D7">
        <w:rPr>
          <w:rFonts w:ascii="Verdana" w:hAnsi="Verdana"/>
          <w:sz w:val="24"/>
          <w:szCs w:val="24"/>
        </w:rPr>
        <w:t xml:space="preserve"> in forma gratuita.</w:t>
      </w:r>
      <w:r w:rsidR="00874D17" w:rsidRPr="005A74D7">
        <w:rPr>
          <w:rFonts w:ascii="Verdana" w:hAnsi="Verdana"/>
          <w:sz w:val="24"/>
          <w:szCs w:val="24"/>
        </w:rPr>
        <w:t xml:space="preserve"> </w:t>
      </w:r>
    </w:p>
    <w:p w:rsidR="00B75D59" w:rsidRDefault="00B75D59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F38" w:rsidRPr="007C420F" w:rsidRDefault="005B528A" w:rsidP="00ED1F38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Fig. 4</w:t>
      </w:r>
      <w:r w:rsidR="00ED1F38" w:rsidRPr="007C420F">
        <w:rPr>
          <w:rFonts w:ascii="Verdana" w:hAnsi="Verdana"/>
          <w:b/>
        </w:rPr>
        <w:t xml:space="preserve"> – Gli spettacoli dal vivo in digitale</w:t>
      </w:r>
    </w:p>
    <w:p w:rsidR="00270F6F" w:rsidRDefault="00270F6F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63A1B935" wp14:editId="4E4B087C">
            <wp:extent cx="4829175" cy="2740504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0198" cy="2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3C" w:rsidRPr="008E1CF4" w:rsidRDefault="00626A3C" w:rsidP="00626A3C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270F6F" w:rsidRDefault="00270F6F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6FBA" w:rsidRDefault="00BD3206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 xml:space="preserve">In </w:t>
      </w:r>
      <w:r w:rsidR="00874D17" w:rsidRPr="005A74D7">
        <w:rPr>
          <w:rFonts w:ascii="Verdana" w:hAnsi="Verdana"/>
          <w:sz w:val="24"/>
          <w:szCs w:val="24"/>
        </w:rPr>
        <w:t>pochi (</w:t>
      </w:r>
      <w:r w:rsidRPr="005A74D7">
        <w:rPr>
          <w:rFonts w:ascii="Verdana" w:hAnsi="Verdana"/>
          <w:sz w:val="24"/>
          <w:szCs w:val="24"/>
        </w:rPr>
        <w:t xml:space="preserve">solo il </w:t>
      </w:r>
      <w:r w:rsidR="00874D17" w:rsidRPr="005A74D7">
        <w:rPr>
          <w:rFonts w:ascii="Verdana" w:hAnsi="Verdana"/>
          <w:sz w:val="24"/>
          <w:szCs w:val="24"/>
        </w:rPr>
        <w:t xml:space="preserve">4%) hanno approfittato della possibilità di visite virtuali </w:t>
      </w:r>
      <w:r w:rsidRPr="005A74D7">
        <w:rPr>
          <w:rFonts w:ascii="Verdana" w:hAnsi="Verdana"/>
          <w:sz w:val="24"/>
          <w:szCs w:val="24"/>
        </w:rPr>
        <w:t>a</w:t>
      </w:r>
      <w:r w:rsidR="00874D17" w:rsidRPr="005A74D7">
        <w:rPr>
          <w:rFonts w:ascii="Verdana" w:hAnsi="Verdana"/>
          <w:sz w:val="24"/>
          <w:szCs w:val="24"/>
        </w:rPr>
        <w:t xml:space="preserve"> musei e siti archeologici</w:t>
      </w:r>
      <w:r w:rsidR="00F4035E" w:rsidRPr="005A74D7">
        <w:rPr>
          <w:rFonts w:ascii="Verdana" w:hAnsi="Verdana"/>
          <w:sz w:val="24"/>
          <w:szCs w:val="24"/>
        </w:rPr>
        <w:t xml:space="preserve">, mentre la </w:t>
      </w:r>
      <w:r w:rsidR="00060C40">
        <w:rPr>
          <w:rFonts w:ascii="Verdana" w:hAnsi="Verdana"/>
          <w:sz w:val="24"/>
          <w:szCs w:val="24"/>
        </w:rPr>
        <w:t>maggior parte (ben</w:t>
      </w:r>
      <w:r w:rsidR="00F4035E" w:rsidRPr="005A74D7">
        <w:rPr>
          <w:rFonts w:ascii="Verdana" w:hAnsi="Verdana"/>
          <w:sz w:val="24"/>
          <w:szCs w:val="24"/>
        </w:rPr>
        <w:t xml:space="preserve"> il 79%) non ha usufruito di questa opportunità sia perché non ne era a conoscenza (28%) che per libera scelta (51%)</w:t>
      </w:r>
      <w:r w:rsidR="00874D17" w:rsidRPr="005A74D7">
        <w:rPr>
          <w:rFonts w:ascii="Verdana" w:hAnsi="Verdana"/>
          <w:sz w:val="24"/>
          <w:szCs w:val="24"/>
        </w:rPr>
        <w:t>.</w:t>
      </w:r>
    </w:p>
    <w:p w:rsidR="0054562D" w:rsidRDefault="0054562D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F38" w:rsidRPr="007C420F" w:rsidRDefault="005B528A" w:rsidP="00ED1F38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Fig. 5</w:t>
      </w:r>
      <w:r w:rsidR="00ED1F38" w:rsidRPr="007C420F">
        <w:rPr>
          <w:rFonts w:ascii="Verdana" w:hAnsi="Verdana"/>
          <w:b/>
        </w:rPr>
        <w:t xml:space="preserve"> – Le visite virtuali a musei e siti archeologici</w:t>
      </w:r>
    </w:p>
    <w:p w:rsidR="00874D17" w:rsidRPr="00352367" w:rsidRDefault="00874D17" w:rsidP="003523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367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2F915BE8" wp14:editId="767FAB78">
            <wp:extent cx="3952875" cy="23121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9211" cy="232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7" w:rsidRPr="008E1CF4" w:rsidRDefault="00352367" w:rsidP="00352367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352367" w:rsidRDefault="0035236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717" w:rsidRDefault="00F9271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6FBA" w:rsidRDefault="00A96FB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sz w:val="24"/>
          <w:szCs w:val="24"/>
        </w:rPr>
        <w:t xml:space="preserve">Lo stress psicologico associato ai mesi di </w:t>
      </w:r>
      <w:proofErr w:type="spellStart"/>
      <w:r w:rsidRPr="005A74D7">
        <w:rPr>
          <w:rFonts w:ascii="Verdana" w:hAnsi="Verdana"/>
          <w:sz w:val="24"/>
          <w:szCs w:val="24"/>
        </w:rPr>
        <w:t>lockdow</w:t>
      </w:r>
      <w:r w:rsidR="008B73C6" w:rsidRPr="005A74D7">
        <w:rPr>
          <w:rFonts w:ascii="Verdana" w:hAnsi="Verdana"/>
          <w:sz w:val="24"/>
          <w:szCs w:val="24"/>
        </w:rPr>
        <w:t>n</w:t>
      </w:r>
      <w:proofErr w:type="spellEnd"/>
      <w:r w:rsidR="00596B5B">
        <w:rPr>
          <w:rFonts w:ascii="Verdana" w:hAnsi="Verdana"/>
          <w:sz w:val="24"/>
          <w:szCs w:val="24"/>
        </w:rPr>
        <w:t xml:space="preserve"> </w:t>
      </w:r>
      <w:r w:rsidR="00596B5B" w:rsidRPr="00596B5B">
        <w:rPr>
          <w:rFonts w:ascii="Verdana" w:hAnsi="Verdana"/>
          <w:sz w:val="24"/>
          <w:szCs w:val="24"/>
        </w:rPr>
        <w:t>e l’elevato consumo di prodotti e servizi culturali in</w:t>
      </w:r>
      <w:r w:rsidR="00596B5B">
        <w:rPr>
          <w:rFonts w:ascii="Verdana" w:hAnsi="Verdana"/>
          <w:sz w:val="24"/>
          <w:szCs w:val="24"/>
        </w:rPr>
        <w:t xml:space="preserve"> ambito informativo e formativo</w:t>
      </w:r>
      <w:r w:rsidR="00596B5B" w:rsidRPr="00596B5B">
        <w:rPr>
          <w:rFonts w:ascii="Verdana" w:hAnsi="Verdana"/>
          <w:sz w:val="24"/>
          <w:szCs w:val="24"/>
        </w:rPr>
        <w:t xml:space="preserve"> </w:t>
      </w:r>
      <w:r w:rsidR="008B73C6" w:rsidRPr="005A74D7">
        <w:rPr>
          <w:rFonts w:ascii="Verdana" w:hAnsi="Verdana"/>
          <w:sz w:val="24"/>
          <w:szCs w:val="24"/>
        </w:rPr>
        <w:t xml:space="preserve"> hanno modificato</w:t>
      </w:r>
      <w:r w:rsidRPr="005A74D7">
        <w:rPr>
          <w:rFonts w:ascii="Verdana" w:hAnsi="Verdana"/>
          <w:sz w:val="24"/>
          <w:szCs w:val="24"/>
        </w:rPr>
        <w:t xml:space="preserve"> in profondità lo schema dei bisogni individuali in campo culturale.</w:t>
      </w:r>
      <w:r w:rsidR="00A54081" w:rsidRPr="005A74D7">
        <w:rPr>
          <w:rFonts w:ascii="Verdana" w:hAnsi="Verdana"/>
          <w:sz w:val="24"/>
          <w:szCs w:val="24"/>
        </w:rPr>
        <w:t xml:space="preserve"> </w:t>
      </w:r>
      <w:r w:rsidRPr="005A74D7">
        <w:rPr>
          <w:rFonts w:ascii="Verdana" w:hAnsi="Verdana"/>
          <w:sz w:val="24"/>
          <w:szCs w:val="24"/>
        </w:rPr>
        <w:t xml:space="preserve">Cresce molto </w:t>
      </w:r>
      <w:r w:rsidR="00815BFE" w:rsidRPr="005A74D7">
        <w:rPr>
          <w:rFonts w:ascii="Verdana" w:hAnsi="Verdana"/>
          <w:sz w:val="24"/>
          <w:szCs w:val="24"/>
        </w:rPr>
        <w:t xml:space="preserve">l’aspettativa </w:t>
      </w:r>
      <w:r w:rsidR="00C15A8A">
        <w:rPr>
          <w:rFonts w:ascii="Verdana" w:hAnsi="Verdana"/>
          <w:sz w:val="24"/>
          <w:szCs w:val="24"/>
        </w:rPr>
        <w:t>legata al</w:t>
      </w:r>
      <w:r w:rsidRPr="005A74D7">
        <w:rPr>
          <w:rFonts w:ascii="Verdana" w:hAnsi="Verdana"/>
          <w:sz w:val="24"/>
          <w:szCs w:val="24"/>
        </w:rPr>
        <w:t xml:space="preserve"> divertimento</w:t>
      </w:r>
      <w:r w:rsidR="00A54081" w:rsidRPr="005A74D7">
        <w:rPr>
          <w:rFonts w:ascii="Verdana" w:hAnsi="Verdana"/>
          <w:sz w:val="24"/>
          <w:szCs w:val="24"/>
        </w:rPr>
        <w:t xml:space="preserve"> (+</w:t>
      </w:r>
      <w:r w:rsidR="006E1767">
        <w:rPr>
          <w:rFonts w:ascii="Verdana" w:hAnsi="Verdana"/>
          <w:sz w:val="24"/>
          <w:szCs w:val="24"/>
        </w:rPr>
        <w:t>15</w:t>
      </w:r>
      <w:r w:rsidR="00A54081" w:rsidRPr="005A74D7">
        <w:rPr>
          <w:rFonts w:ascii="Verdana" w:hAnsi="Verdana"/>
          <w:sz w:val="24"/>
          <w:szCs w:val="24"/>
        </w:rPr>
        <w:t xml:space="preserve"> punti percentuali</w:t>
      </w:r>
      <w:r w:rsidRPr="005A74D7">
        <w:rPr>
          <w:rFonts w:ascii="Verdana" w:hAnsi="Verdana"/>
          <w:sz w:val="24"/>
          <w:szCs w:val="24"/>
        </w:rPr>
        <w:t xml:space="preserve"> </w:t>
      </w:r>
      <w:r w:rsidR="00A54081" w:rsidRPr="005A74D7">
        <w:rPr>
          <w:rFonts w:ascii="Verdana" w:hAnsi="Verdana"/>
          <w:sz w:val="24"/>
          <w:szCs w:val="24"/>
        </w:rPr>
        <w:t>rispetto a dicembre 2019)</w:t>
      </w:r>
      <w:r w:rsidR="0038360B">
        <w:rPr>
          <w:rFonts w:ascii="Verdana" w:hAnsi="Verdana"/>
          <w:sz w:val="24"/>
          <w:szCs w:val="24"/>
        </w:rPr>
        <w:t>,</w:t>
      </w:r>
      <w:r w:rsidR="00A54081" w:rsidRPr="005A74D7">
        <w:rPr>
          <w:rFonts w:ascii="Verdana" w:hAnsi="Verdana"/>
          <w:sz w:val="24"/>
          <w:szCs w:val="24"/>
        </w:rPr>
        <w:t xml:space="preserve"> </w:t>
      </w:r>
      <w:r w:rsidR="00C15A8A">
        <w:rPr>
          <w:rFonts w:ascii="Verdana" w:hAnsi="Verdana"/>
          <w:sz w:val="24"/>
          <w:szCs w:val="24"/>
        </w:rPr>
        <w:t>al</w:t>
      </w:r>
      <w:r w:rsidRPr="005A74D7">
        <w:rPr>
          <w:rFonts w:ascii="Verdana" w:hAnsi="Verdana"/>
          <w:sz w:val="24"/>
          <w:szCs w:val="24"/>
        </w:rPr>
        <w:t xml:space="preserve"> relax</w:t>
      </w:r>
      <w:r w:rsidR="00A54081" w:rsidRPr="005A74D7">
        <w:rPr>
          <w:rFonts w:ascii="Verdana" w:hAnsi="Verdana"/>
          <w:sz w:val="24"/>
          <w:szCs w:val="24"/>
        </w:rPr>
        <w:t xml:space="preserve"> (+1</w:t>
      </w:r>
      <w:r w:rsidR="006E1767">
        <w:rPr>
          <w:rFonts w:ascii="Verdana" w:hAnsi="Verdana"/>
          <w:sz w:val="24"/>
          <w:szCs w:val="24"/>
        </w:rPr>
        <w:t>4</w:t>
      </w:r>
      <w:r w:rsidR="00A54081" w:rsidRPr="005A74D7">
        <w:rPr>
          <w:rFonts w:ascii="Verdana" w:hAnsi="Verdana"/>
          <w:sz w:val="24"/>
          <w:szCs w:val="24"/>
        </w:rPr>
        <w:t xml:space="preserve"> punti)</w:t>
      </w:r>
      <w:r w:rsidRPr="005A74D7">
        <w:rPr>
          <w:rFonts w:ascii="Verdana" w:hAnsi="Verdana"/>
          <w:sz w:val="24"/>
          <w:szCs w:val="24"/>
        </w:rPr>
        <w:t xml:space="preserve">, di </w:t>
      </w:r>
      <w:r w:rsidR="00C15A8A">
        <w:rPr>
          <w:rFonts w:ascii="Verdana" w:hAnsi="Verdana"/>
          <w:sz w:val="24"/>
          <w:szCs w:val="24"/>
        </w:rPr>
        <w:t xml:space="preserve">fare </w:t>
      </w:r>
      <w:r w:rsidRPr="005A74D7">
        <w:rPr>
          <w:rFonts w:ascii="Verdana" w:hAnsi="Verdana"/>
          <w:sz w:val="24"/>
          <w:szCs w:val="24"/>
        </w:rPr>
        <w:t xml:space="preserve">qualcosa </w:t>
      </w:r>
      <w:r w:rsidR="00C15A8A">
        <w:rPr>
          <w:rFonts w:ascii="Verdana" w:hAnsi="Verdana"/>
          <w:sz w:val="24"/>
          <w:szCs w:val="24"/>
        </w:rPr>
        <w:t xml:space="preserve">di diverso e </w:t>
      </w:r>
      <w:r w:rsidRPr="005A74D7">
        <w:rPr>
          <w:rFonts w:ascii="Verdana" w:hAnsi="Verdana"/>
          <w:sz w:val="24"/>
          <w:szCs w:val="24"/>
        </w:rPr>
        <w:t>di uscire dalla routine.</w:t>
      </w:r>
    </w:p>
    <w:p w:rsidR="00626A3C" w:rsidRDefault="00626A3C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6A3C" w:rsidRPr="00256DFD" w:rsidRDefault="00626A3C" w:rsidP="00626A3C">
      <w:pPr>
        <w:spacing w:after="0" w:line="240" w:lineRule="auto"/>
        <w:jc w:val="both"/>
        <w:rPr>
          <w:rFonts w:ascii="Verdana" w:hAnsi="Verdana"/>
          <w:b/>
        </w:rPr>
      </w:pPr>
      <w:r w:rsidRPr="00256DFD">
        <w:rPr>
          <w:rFonts w:ascii="Verdana" w:hAnsi="Verdana"/>
          <w:b/>
        </w:rPr>
        <w:t xml:space="preserve">Fig. </w:t>
      </w:r>
      <w:r w:rsidR="005B528A">
        <w:rPr>
          <w:rFonts w:ascii="Verdana" w:hAnsi="Verdana"/>
          <w:b/>
        </w:rPr>
        <w:t>6</w:t>
      </w:r>
      <w:r w:rsidRPr="00256DFD">
        <w:rPr>
          <w:rFonts w:ascii="Verdana" w:hAnsi="Verdana"/>
          <w:b/>
        </w:rPr>
        <w:t xml:space="preserve"> – Le aspettative sulle attività culturali</w:t>
      </w:r>
    </w:p>
    <w:p w:rsidR="00A54081" w:rsidRPr="005A74D7" w:rsidRDefault="00A54081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41E9F0BF" wp14:editId="46C59C0A">
            <wp:extent cx="4552950" cy="261552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6662" cy="26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7" w:rsidRPr="008E1CF4" w:rsidRDefault="00352367" w:rsidP="00352367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352367" w:rsidRDefault="0035236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009E" w:rsidRDefault="0045366F" w:rsidP="00BC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5A74D7">
        <w:rPr>
          <w:rFonts w:ascii="Verdana" w:hAnsi="Verdana"/>
          <w:sz w:val="24"/>
          <w:szCs w:val="24"/>
        </w:rPr>
        <w:t>n particolare</w:t>
      </w:r>
      <w:r>
        <w:rPr>
          <w:rFonts w:ascii="Verdana" w:hAnsi="Verdana"/>
          <w:sz w:val="24"/>
          <w:szCs w:val="24"/>
        </w:rPr>
        <w:t>, l</w:t>
      </w:r>
      <w:r w:rsidR="00A96FBA" w:rsidRPr="005A74D7">
        <w:rPr>
          <w:rFonts w:ascii="Verdana" w:hAnsi="Verdana"/>
          <w:sz w:val="24"/>
          <w:szCs w:val="24"/>
        </w:rPr>
        <w:t xml:space="preserve">e limitazioni imposte alle attività dal vivo hanno alimentato il bisogno di riprendere le proprie abitudini, </w:t>
      </w:r>
      <w:r w:rsidR="00A54081" w:rsidRPr="005A74D7">
        <w:rPr>
          <w:rFonts w:ascii="Verdana" w:hAnsi="Verdana"/>
          <w:sz w:val="24"/>
          <w:szCs w:val="24"/>
        </w:rPr>
        <w:t>ma</w:t>
      </w:r>
      <w:r w:rsidR="00A96FBA" w:rsidRPr="005A74D7">
        <w:rPr>
          <w:rFonts w:ascii="Verdana" w:hAnsi="Verdana"/>
          <w:sz w:val="24"/>
          <w:szCs w:val="24"/>
        </w:rPr>
        <w:t xml:space="preserve"> non </w:t>
      </w:r>
      <w:r>
        <w:rPr>
          <w:rFonts w:ascii="Verdana" w:hAnsi="Verdana"/>
          <w:sz w:val="24"/>
          <w:szCs w:val="24"/>
        </w:rPr>
        <w:t>per</w:t>
      </w:r>
      <w:r w:rsidR="00A96FBA" w:rsidRPr="005A74D7">
        <w:rPr>
          <w:rFonts w:ascii="Verdana" w:hAnsi="Verdana"/>
          <w:sz w:val="24"/>
          <w:szCs w:val="24"/>
        </w:rPr>
        <w:t xml:space="preserve"> tutti gli </w:t>
      </w:r>
      <w:r w:rsidR="007C420F">
        <w:rPr>
          <w:rFonts w:ascii="Verdana" w:hAnsi="Verdana"/>
          <w:sz w:val="24"/>
          <w:szCs w:val="24"/>
        </w:rPr>
        <w:t xml:space="preserve">appassionati. </w:t>
      </w:r>
      <w:r w:rsidR="008B73C6" w:rsidRPr="005A74D7">
        <w:rPr>
          <w:rFonts w:ascii="Verdana" w:hAnsi="Verdana"/>
          <w:sz w:val="24"/>
          <w:szCs w:val="24"/>
        </w:rPr>
        <w:t>Anche tra questi p</w:t>
      </w:r>
      <w:r w:rsidR="00A96FBA" w:rsidRPr="005A74D7">
        <w:rPr>
          <w:rFonts w:ascii="Verdana" w:hAnsi="Verdana"/>
          <w:sz w:val="24"/>
          <w:szCs w:val="24"/>
        </w:rPr>
        <w:t>revale</w:t>
      </w:r>
      <w:r w:rsidR="008B73C6" w:rsidRPr="005A74D7">
        <w:rPr>
          <w:rFonts w:ascii="Verdana" w:hAnsi="Verdana"/>
          <w:sz w:val="24"/>
          <w:szCs w:val="24"/>
        </w:rPr>
        <w:t xml:space="preserve"> </w:t>
      </w:r>
      <w:r w:rsidR="00A96FBA" w:rsidRPr="005A74D7">
        <w:rPr>
          <w:rFonts w:ascii="Verdana" w:hAnsi="Verdana"/>
          <w:sz w:val="24"/>
          <w:szCs w:val="24"/>
        </w:rPr>
        <w:t>una</w:t>
      </w:r>
      <w:r w:rsidR="008B73C6" w:rsidRPr="005A74D7">
        <w:rPr>
          <w:rFonts w:ascii="Verdana" w:hAnsi="Verdana"/>
          <w:sz w:val="24"/>
          <w:szCs w:val="24"/>
        </w:rPr>
        <w:t xml:space="preserve"> </w:t>
      </w:r>
      <w:r w:rsidR="00A96FBA" w:rsidRPr="005A74D7">
        <w:rPr>
          <w:rFonts w:ascii="Verdana" w:hAnsi="Verdana"/>
          <w:sz w:val="24"/>
          <w:szCs w:val="24"/>
        </w:rPr>
        <w:t>generale</w:t>
      </w:r>
      <w:r w:rsidR="008B73C6" w:rsidRPr="005A74D7">
        <w:rPr>
          <w:rFonts w:ascii="Verdana" w:hAnsi="Verdana"/>
          <w:sz w:val="24"/>
          <w:szCs w:val="24"/>
        </w:rPr>
        <w:t xml:space="preserve"> </w:t>
      </w:r>
      <w:r w:rsidR="00A96FBA" w:rsidRPr="005A74D7">
        <w:rPr>
          <w:rFonts w:ascii="Verdana" w:hAnsi="Verdana"/>
          <w:sz w:val="24"/>
          <w:szCs w:val="24"/>
        </w:rPr>
        <w:t>cautela</w:t>
      </w:r>
      <w:r w:rsidR="008B73C6" w:rsidRPr="005A74D7">
        <w:rPr>
          <w:rFonts w:ascii="Verdana" w:hAnsi="Verdana"/>
          <w:sz w:val="24"/>
          <w:szCs w:val="24"/>
        </w:rPr>
        <w:t xml:space="preserve"> </w:t>
      </w:r>
      <w:r w:rsidR="00A96FBA" w:rsidRPr="005A74D7">
        <w:rPr>
          <w:rFonts w:ascii="Verdana" w:hAnsi="Verdana"/>
          <w:sz w:val="24"/>
          <w:szCs w:val="24"/>
        </w:rPr>
        <w:t xml:space="preserve">sia </w:t>
      </w:r>
      <w:r w:rsidR="008B73C6" w:rsidRPr="005A74D7">
        <w:rPr>
          <w:rFonts w:ascii="Verdana" w:hAnsi="Verdana"/>
          <w:sz w:val="24"/>
          <w:szCs w:val="24"/>
        </w:rPr>
        <w:t xml:space="preserve">per </w:t>
      </w:r>
      <w:r w:rsidR="00A96FBA" w:rsidRPr="005A74D7">
        <w:rPr>
          <w:rFonts w:ascii="Verdana" w:hAnsi="Verdana"/>
          <w:sz w:val="24"/>
          <w:szCs w:val="24"/>
        </w:rPr>
        <w:t>l’evoluz</w:t>
      </w:r>
      <w:r w:rsidR="008B73C6" w:rsidRPr="005A74D7">
        <w:rPr>
          <w:rFonts w:ascii="Verdana" w:hAnsi="Verdana"/>
          <w:sz w:val="24"/>
          <w:szCs w:val="24"/>
        </w:rPr>
        <w:t>ione della situazione sanitaria</w:t>
      </w:r>
      <w:r w:rsidR="00A96FBA" w:rsidRPr="005A74D7">
        <w:rPr>
          <w:rFonts w:ascii="Verdana" w:hAnsi="Verdana"/>
          <w:sz w:val="24"/>
          <w:szCs w:val="24"/>
        </w:rPr>
        <w:t xml:space="preserve"> che </w:t>
      </w:r>
      <w:r w:rsidR="008B73C6" w:rsidRPr="005A74D7">
        <w:rPr>
          <w:rFonts w:ascii="Verdana" w:hAnsi="Verdana"/>
          <w:sz w:val="24"/>
          <w:szCs w:val="24"/>
        </w:rPr>
        <w:t xml:space="preserve">per </w:t>
      </w:r>
      <w:r w:rsidR="00A96FBA" w:rsidRPr="005A74D7">
        <w:rPr>
          <w:rFonts w:ascii="Verdana" w:hAnsi="Verdana"/>
          <w:sz w:val="24"/>
          <w:szCs w:val="24"/>
        </w:rPr>
        <w:t>la riorganizzazione dei servizi.</w:t>
      </w:r>
      <w:r w:rsidR="00BC273A">
        <w:rPr>
          <w:rFonts w:ascii="Verdana" w:hAnsi="Verdana"/>
          <w:sz w:val="24"/>
          <w:szCs w:val="24"/>
        </w:rPr>
        <w:t xml:space="preserve"> In questo senso l’</w:t>
      </w:r>
      <w:r w:rsidR="003E2CEF">
        <w:rPr>
          <w:rFonts w:ascii="Verdana" w:hAnsi="Verdana"/>
          <w:sz w:val="24"/>
          <w:szCs w:val="24"/>
        </w:rPr>
        <w:t>a</w:t>
      </w:r>
      <w:r w:rsidR="00BC273A">
        <w:rPr>
          <w:rFonts w:ascii="Verdana" w:hAnsi="Verdana"/>
          <w:sz w:val="24"/>
          <w:szCs w:val="24"/>
        </w:rPr>
        <w:t>dozione</w:t>
      </w:r>
      <w:r w:rsidR="003E2CEF">
        <w:rPr>
          <w:rFonts w:ascii="Verdana" w:hAnsi="Verdana"/>
          <w:sz w:val="24"/>
          <w:szCs w:val="24"/>
        </w:rPr>
        <w:t xml:space="preserve"> di</w:t>
      </w:r>
      <w:r w:rsidR="00256DFD">
        <w:rPr>
          <w:rFonts w:ascii="Verdana" w:hAnsi="Verdana"/>
          <w:sz w:val="24"/>
          <w:szCs w:val="24"/>
        </w:rPr>
        <w:t xml:space="preserve"> misure di prevenzione </w:t>
      </w:r>
      <w:r w:rsidR="003E2CEF">
        <w:rPr>
          <w:rFonts w:ascii="Verdana" w:hAnsi="Verdana"/>
          <w:sz w:val="24"/>
          <w:szCs w:val="24"/>
        </w:rPr>
        <w:t>hanno</w:t>
      </w:r>
      <w:r w:rsidR="001D43E5">
        <w:rPr>
          <w:rFonts w:ascii="Verdana" w:hAnsi="Verdana"/>
          <w:sz w:val="24"/>
          <w:szCs w:val="24"/>
        </w:rPr>
        <w:t xml:space="preserve"> </w:t>
      </w:r>
      <w:r w:rsidR="00256DFD" w:rsidRPr="00256DFD">
        <w:rPr>
          <w:rFonts w:ascii="Verdana" w:hAnsi="Verdana"/>
          <w:sz w:val="24"/>
          <w:szCs w:val="24"/>
        </w:rPr>
        <w:t xml:space="preserve">un impatto </w:t>
      </w:r>
      <w:r w:rsidR="003E2CEF">
        <w:rPr>
          <w:rFonts w:ascii="Verdana" w:hAnsi="Verdana"/>
          <w:sz w:val="24"/>
          <w:szCs w:val="24"/>
        </w:rPr>
        <w:t>positivo</w:t>
      </w:r>
      <w:r w:rsidR="00256DFD" w:rsidRPr="00256DFD">
        <w:rPr>
          <w:rFonts w:ascii="Verdana" w:hAnsi="Verdana"/>
          <w:sz w:val="24"/>
          <w:szCs w:val="24"/>
        </w:rPr>
        <w:t xml:space="preserve"> sulla predisposizione a partecipare ad eventi dal vivo</w:t>
      </w:r>
      <w:r w:rsidR="001D43E5">
        <w:rPr>
          <w:rFonts w:ascii="Verdana" w:hAnsi="Verdana"/>
          <w:sz w:val="24"/>
          <w:szCs w:val="24"/>
        </w:rPr>
        <w:t xml:space="preserve">. </w:t>
      </w:r>
    </w:p>
    <w:p w:rsidR="008E55DF" w:rsidRDefault="008E55DF" w:rsidP="00BC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56DFD" w:rsidRPr="00256DFD" w:rsidRDefault="00256DFD" w:rsidP="00256DFD">
      <w:pPr>
        <w:spacing w:after="0" w:line="240" w:lineRule="auto"/>
        <w:jc w:val="both"/>
        <w:rPr>
          <w:rFonts w:ascii="Verdana" w:hAnsi="Verdana"/>
          <w:b/>
        </w:rPr>
      </w:pPr>
      <w:r w:rsidRPr="00256DFD">
        <w:rPr>
          <w:rFonts w:ascii="Verdana" w:hAnsi="Verdana"/>
          <w:b/>
        </w:rPr>
        <w:t xml:space="preserve">Fig. </w:t>
      </w:r>
      <w:r w:rsidR="005B528A">
        <w:rPr>
          <w:rFonts w:ascii="Verdana" w:hAnsi="Verdana"/>
          <w:b/>
        </w:rPr>
        <w:t>7</w:t>
      </w:r>
      <w:r w:rsidRPr="00256DFD">
        <w:rPr>
          <w:rFonts w:ascii="Verdana" w:hAnsi="Verdana"/>
          <w:b/>
        </w:rPr>
        <w:t xml:space="preserve"> – L</w:t>
      </w:r>
      <w:r w:rsidR="001D43E5">
        <w:rPr>
          <w:rFonts w:ascii="Verdana" w:hAnsi="Verdana"/>
          <w:b/>
        </w:rPr>
        <w:t>’impatto delle</w:t>
      </w:r>
      <w:r w:rsidRPr="00256DFD">
        <w:rPr>
          <w:rFonts w:ascii="Verdana" w:hAnsi="Verdana"/>
          <w:b/>
        </w:rPr>
        <w:t xml:space="preserve"> </w:t>
      </w:r>
      <w:r w:rsidR="001D43E5">
        <w:rPr>
          <w:rFonts w:ascii="Verdana" w:hAnsi="Verdana"/>
          <w:b/>
        </w:rPr>
        <w:t>misure di prevenzione sulla partecipazione a spettacoli dal vivo</w:t>
      </w:r>
    </w:p>
    <w:p w:rsidR="00A54081" w:rsidRPr="005A74D7" w:rsidRDefault="00EA7CEB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5FFFE81" wp14:editId="68D370A7">
            <wp:extent cx="4781550" cy="259264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5178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7" w:rsidRPr="008E1CF4" w:rsidRDefault="00352367" w:rsidP="00352367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352367" w:rsidRDefault="0035236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143F" w:rsidRDefault="00BC273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Circa un italiano su tre sarebbe disponibile a pagare di più per assistere a eventi culturali </w:t>
      </w:r>
      <w:r w:rsidR="008E55DF">
        <w:rPr>
          <w:rFonts w:ascii="Verdana" w:hAnsi="Verdana"/>
          <w:sz w:val="24"/>
          <w:szCs w:val="24"/>
        </w:rPr>
        <w:t>dal vivo</w:t>
      </w:r>
      <w:r w:rsidR="00620C29">
        <w:rPr>
          <w:rFonts w:ascii="Verdana" w:hAnsi="Verdana"/>
          <w:sz w:val="24"/>
          <w:szCs w:val="24"/>
        </w:rPr>
        <w:t>, una quota che</w:t>
      </w:r>
      <w:r w:rsidR="008E55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tra gli appassionati </w:t>
      </w:r>
      <w:r w:rsidR="003E2CEF">
        <w:rPr>
          <w:rFonts w:ascii="Verdana" w:hAnsi="Verdana"/>
          <w:sz w:val="24"/>
          <w:szCs w:val="24"/>
        </w:rPr>
        <w:t xml:space="preserve">arriva a </w:t>
      </w:r>
      <w:r>
        <w:rPr>
          <w:rFonts w:ascii="Verdana" w:hAnsi="Verdana"/>
          <w:sz w:val="24"/>
          <w:szCs w:val="24"/>
        </w:rPr>
        <w:t xml:space="preserve">superare </w:t>
      </w:r>
      <w:r w:rsidR="003E2CEF">
        <w:rPr>
          <w:rFonts w:ascii="Verdana" w:hAnsi="Verdana"/>
          <w:sz w:val="24"/>
          <w:szCs w:val="24"/>
        </w:rPr>
        <w:t xml:space="preserve">anche </w:t>
      </w:r>
      <w:r>
        <w:rPr>
          <w:rFonts w:ascii="Verdana" w:hAnsi="Verdana"/>
          <w:sz w:val="24"/>
          <w:szCs w:val="24"/>
        </w:rPr>
        <w:t xml:space="preserve">il 50%. </w:t>
      </w:r>
    </w:p>
    <w:p w:rsidR="00CB7042" w:rsidRDefault="00CB7042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420F" w:rsidRPr="00256DFD" w:rsidRDefault="007C420F" w:rsidP="007C420F">
      <w:pPr>
        <w:spacing w:after="0" w:line="240" w:lineRule="auto"/>
        <w:jc w:val="both"/>
        <w:rPr>
          <w:rFonts w:ascii="Verdana" w:hAnsi="Verdana"/>
          <w:b/>
        </w:rPr>
      </w:pPr>
      <w:r w:rsidRPr="00256DFD">
        <w:rPr>
          <w:rFonts w:ascii="Verdana" w:hAnsi="Verdana"/>
          <w:b/>
        </w:rPr>
        <w:t xml:space="preserve">Fig. </w:t>
      </w:r>
      <w:r w:rsidR="005B528A">
        <w:rPr>
          <w:rFonts w:ascii="Verdana" w:hAnsi="Verdana"/>
          <w:b/>
        </w:rPr>
        <w:t>8</w:t>
      </w:r>
      <w:r w:rsidRPr="00256DFD">
        <w:rPr>
          <w:rFonts w:ascii="Verdana" w:hAnsi="Verdana"/>
          <w:b/>
        </w:rPr>
        <w:t xml:space="preserve"> – </w:t>
      </w:r>
      <w:r w:rsidR="00D4540C">
        <w:rPr>
          <w:rFonts w:ascii="Verdana" w:hAnsi="Verdana"/>
          <w:b/>
        </w:rPr>
        <w:t>Il gradimento sull’ipotesi di aumento</w:t>
      </w:r>
      <w:r>
        <w:rPr>
          <w:rFonts w:ascii="Verdana" w:hAnsi="Verdana"/>
          <w:b/>
        </w:rPr>
        <w:t xml:space="preserve"> </w:t>
      </w:r>
      <w:r w:rsidR="00D4540C">
        <w:rPr>
          <w:rFonts w:ascii="Verdana" w:hAnsi="Verdana"/>
          <w:b/>
        </w:rPr>
        <w:t xml:space="preserve">dei biglietti </w:t>
      </w:r>
    </w:p>
    <w:p w:rsidR="00A96FBA" w:rsidRPr="005A74D7" w:rsidRDefault="00815BFE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74D7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1295B60D" wp14:editId="1475BC1C">
            <wp:extent cx="4446930" cy="24288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4119" cy="24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7" w:rsidRPr="008E1CF4" w:rsidRDefault="00352367" w:rsidP="00352367">
      <w:pPr>
        <w:pStyle w:val="Corpotesto"/>
        <w:kinsoku w:val="0"/>
        <w:overflowPunct w:val="0"/>
        <w:rPr>
          <w:i/>
          <w:iCs/>
          <w:sz w:val="20"/>
          <w:szCs w:val="20"/>
          <w:lang w:val="it-IT"/>
        </w:rPr>
      </w:pPr>
      <w:r w:rsidRPr="008E1CF4">
        <w:rPr>
          <w:i/>
          <w:iCs/>
          <w:sz w:val="20"/>
          <w:szCs w:val="20"/>
          <w:lang w:val="it-IT"/>
        </w:rPr>
        <w:t xml:space="preserve">Fonte: Indagine </w:t>
      </w:r>
      <w:r>
        <w:rPr>
          <w:i/>
          <w:iCs/>
          <w:sz w:val="20"/>
          <w:szCs w:val="20"/>
          <w:lang w:val="it-IT"/>
        </w:rPr>
        <w:t xml:space="preserve">Impresa Cultura Italia-Confcommercio e </w:t>
      </w:r>
      <w:proofErr w:type="spellStart"/>
      <w:r>
        <w:rPr>
          <w:i/>
          <w:iCs/>
          <w:sz w:val="20"/>
          <w:szCs w:val="20"/>
          <w:lang w:val="it-IT"/>
        </w:rPr>
        <w:t>Swg</w:t>
      </w:r>
      <w:proofErr w:type="spellEnd"/>
    </w:p>
    <w:p w:rsidR="00A96FBA" w:rsidRDefault="00A96FBA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717" w:rsidRDefault="00F9271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717" w:rsidRDefault="00F92717" w:rsidP="003523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143F" w:rsidRDefault="007F143F" w:rsidP="00352367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1D43E5">
        <w:rPr>
          <w:rFonts w:ascii="Verdana" w:hAnsi="Verdana"/>
          <w:i/>
          <w:sz w:val="16"/>
          <w:szCs w:val="16"/>
        </w:rPr>
        <w:t>------------</w:t>
      </w:r>
      <w:r w:rsidR="00352367" w:rsidRPr="001D43E5">
        <w:rPr>
          <w:rFonts w:ascii="Verdana" w:hAnsi="Verdana"/>
          <w:i/>
          <w:sz w:val="16"/>
          <w:szCs w:val="16"/>
        </w:rPr>
        <w:t>-------</w:t>
      </w:r>
      <w:r w:rsidR="00237FB4">
        <w:rPr>
          <w:rFonts w:ascii="Verdana" w:hAnsi="Verdana"/>
          <w:i/>
          <w:sz w:val="16"/>
          <w:szCs w:val="16"/>
        </w:rPr>
        <w:t>-----</w:t>
      </w:r>
    </w:p>
    <w:p w:rsidR="00237FB4" w:rsidRPr="001D43E5" w:rsidRDefault="00237FB4" w:rsidP="00352367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:rsidR="007F143F" w:rsidRPr="005A0A66" w:rsidRDefault="007F143F" w:rsidP="0035236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0A66">
        <w:rPr>
          <w:rFonts w:ascii="Verdana" w:hAnsi="Verdana"/>
          <w:i/>
          <w:sz w:val="20"/>
          <w:szCs w:val="20"/>
        </w:rPr>
        <w:t>Nota Metodologica</w:t>
      </w:r>
    </w:p>
    <w:p w:rsidR="00352367" w:rsidRPr="005A0A66" w:rsidRDefault="00352367" w:rsidP="0035236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0A66">
        <w:rPr>
          <w:rFonts w:ascii="Verdana" w:hAnsi="Verdana"/>
          <w:i/>
          <w:sz w:val="20"/>
          <w:szCs w:val="20"/>
        </w:rPr>
        <w:t>L’indagine quantitativa è stata condotta mediante interviste online con metodo CAWI (</w:t>
      </w:r>
      <w:r w:rsidRPr="005A0A66">
        <w:rPr>
          <w:rFonts w:ascii="Verdana" w:hAnsi="Verdana"/>
          <w:i/>
          <w:iCs/>
          <w:sz w:val="20"/>
          <w:szCs w:val="20"/>
        </w:rPr>
        <w:t xml:space="preserve">Computer </w:t>
      </w:r>
      <w:proofErr w:type="spellStart"/>
      <w:r w:rsidRPr="005A0A66">
        <w:rPr>
          <w:rFonts w:ascii="Verdana" w:hAnsi="Verdana"/>
          <w:i/>
          <w:iCs/>
          <w:sz w:val="20"/>
          <w:szCs w:val="20"/>
        </w:rPr>
        <w:t>Assisted</w:t>
      </w:r>
      <w:proofErr w:type="spellEnd"/>
      <w:r w:rsidRPr="005A0A66">
        <w:rPr>
          <w:rFonts w:ascii="Verdana" w:hAnsi="Verdana"/>
          <w:i/>
          <w:iCs/>
          <w:sz w:val="20"/>
          <w:szCs w:val="20"/>
        </w:rPr>
        <w:t xml:space="preserve"> Web </w:t>
      </w:r>
      <w:proofErr w:type="spellStart"/>
      <w:r w:rsidRPr="005A0A66">
        <w:rPr>
          <w:rFonts w:ascii="Verdana" w:hAnsi="Verdana"/>
          <w:i/>
          <w:iCs/>
          <w:sz w:val="20"/>
          <w:szCs w:val="20"/>
        </w:rPr>
        <w:t>Interview</w:t>
      </w:r>
      <w:proofErr w:type="spellEnd"/>
      <w:r w:rsidRPr="005A0A66">
        <w:rPr>
          <w:rFonts w:ascii="Verdana" w:hAnsi="Verdana"/>
          <w:i/>
          <w:sz w:val="20"/>
          <w:szCs w:val="20"/>
        </w:rPr>
        <w:t xml:space="preserve">) su un campione composto da </w:t>
      </w:r>
      <w:r w:rsidRPr="005A0A66">
        <w:rPr>
          <w:rFonts w:ascii="Verdana" w:hAnsi="Verdana"/>
          <w:bCs/>
          <w:i/>
          <w:sz w:val="20"/>
          <w:szCs w:val="20"/>
        </w:rPr>
        <w:t xml:space="preserve">1001 cittadini italiani tra i 18 e 74 anni rappresentativi della popolazione per genere, età, area geografica e ampiezza comune di residenza. </w:t>
      </w:r>
      <w:r w:rsidRPr="005A0A66">
        <w:rPr>
          <w:rFonts w:ascii="Verdana" w:hAnsi="Verdana"/>
          <w:i/>
          <w:sz w:val="20"/>
          <w:szCs w:val="20"/>
        </w:rPr>
        <w:t>Le interviste sono state somministrate dal 18 al 21 maggio 2020.</w:t>
      </w:r>
    </w:p>
    <w:sectPr w:rsidR="00352367" w:rsidRPr="005A0A66" w:rsidSect="001B009E">
      <w:footerReference w:type="default" r:id="rId16"/>
      <w:pgSz w:w="11906" w:h="16838"/>
      <w:pgMar w:top="1417" w:right="113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3" w:rsidRDefault="00083DA3" w:rsidP="001B009E">
      <w:pPr>
        <w:spacing w:after="0" w:line="240" w:lineRule="auto"/>
      </w:pPr>
      <w:r>
        <w:separator/>
      </w:r>
    </w:p>
  </w:endnote>
  <w:endnote w:type="continuationSeparator" w:id="0">
    <w:p w:rsidR="00083DA3" w:rsidRDefault="00083DA3" w:rsidP="001B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41521"/>
      <w:docPartObj>
        <w:docPartGallery w:val="Page Numbers (Bottom of Page)"/>
        <w:docPartUnique/>
      </w:docPartObj>
    </w:sdtPr>
    <w:sdtEndPr/>
    <w:sdtContent>
      <w:p w:rsidR="001B009E" w:rsidRDefault="001B00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79">
          <w:rPr>
            <w:noProof/>
          </w:rPr>
          <w:t>2</w:t>
        </w:r>
        <w:r>
          <w:fldChar w:fldCharType="end"/>
        </w:r>
      </w:p>
    </w:sdtContent>
  </w:sdt>
  <w:p w:rsidR="001B009E" w:rsidRDefault="001B00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3" w:rsidRDefault="00083DA3" w:rsidP="001B009E">
      <w:pPr>
        <w:spacing w:after="0" w:line="240" w:lineRule="auto"/>
      </w:pPr>
      <w:r>
        <w:separator/>
      </w:r>
    </w:p>
  </w:footnote>
  <w:footnote w:type="continuationSeparator" w:id="0">
    <w:p w:rsidR="00083DA3" w:rsidRDefault="00083DA3" w:rsidP="001B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E"/>
    <w:rsid w:val="00002AD7"/>
    <w:rsid w:val="0001587C"/>
    <w:rsid w:val="00015A56"/>
    <w:rsid w:val="000576EA"/>
    <w:rsid w:val="00060C40"/>
    <w:rsid w:val="00074401"/>
    <w:rsid w:val="00083DA3"/>
    <w:rsid w:val="000F744F"/>
    <w:rsid w:val="0016474E"/>
    <w:rsid w:val="001B009E"/>
    <w:rsid w:val="001D43E5"/>
    <w:rsid w:val="00226549"/>
    <w:rsid w:val="00237FB4"/>
    <w:rsid w:val="00256DFD"/>
    <w:rsid w:val="00270F6F"/>
    <w:rsid w:val="00274459"/>
    <w:rsid w:val="002D0696"/>
    <w:rsid w:val="002D7370"/>
    <w:rsid w:val="002D7398"/>
    <w:rsid w:val="00352367"/>
    <w:rsid w:val="00366385"/>
    <w:rsid w:val="0037376C"/>
    <w:rsid w:val="0038360B"/>
    <w:rsid w:val="003E2CEF"/>
    <w:rsid w:val="00424229"/>
    <w:rsid w:val="00446100"/>
    <w:rsid w:val="0045366F"/>
    <w:rsid w:val="00523288"/>
    <w:rsid w:val="0054562D"/>
    <w:rsid w:val="00552B18"/>
    <w:rsid w:val="005902A3"/>
    <w:rsid w:val="00596B5B"/>
    <w:rsid w:val="005A0A66"/>
    <w:rsid w:val="005A74D7"/>
    <w:rsid w:val="005B4CCB"/>
    <w:rsid w:val="005B528A"/>
    <w:rsid w:val="00620C29"/>
    <w:rsid w:val="00626A3C"/>
    <w:rsid w:val="00666C68"/>
    <w:rsid w:val="00677489"/>
    <w:rsid w:val="006A5AFB"/>
    <w:rsid w:val="006C53B0"/>
    <w:rsid w:val="006D531A"/>
    <w:rsid w:val="006E1767"/>
    <w:rsid w:val="006E5224"/>
    <w:rsid w:val="00706C8A"/>
    <w:rsid w:val="0071221F"/>
    <w:rsid w:val="00763A79"/>
    <w:rsid w:val="00784795"/>
    <w:rsid w:val="007C420F"/>
    <w:rsid w:val="007D5309"/>
    <w:rsid w:val="007F143F"/>
    <w:rsid w:val="00810171"/>
    <w:rsid w:val="00815BFE"/>
    <w:rsid w:val="00855880"/>
    <w:rsid w:val="008574A1"/>
    <w:rsid w:val="00874D17"/>
    <w:rsid w:val="00880551"/>
    <w:rsid w:val="00880F95"/>
    <w:rsid w:val="008841DB"/>
    <w:rsid w:val="00886D4F"/>
    <w:rsid w:val="008B73C6"/>
    <w:rsid w:val="008D71BC"/>
    <w:rsid w:val="008E4B84"/>
    <w:rsid w:val="008E55DF"/>
    <w:rsid w:val="009340C0"/>
    <w:rsid w:val="0094286C"/>
    <w:rsid w:val="009A2CE7"/>
    <w:rsid w:val="009D2FDC"/>
    <w:rsid w:val="00A04526"/>
    <w:rsid w:val="00A54081"/>
    <w:rsid w:val="00A87D2F"/>
    <w:rsid w:val="00A90A37"/>
    <w:rsid w:val="00A96FBA"/>
    <w:rsid w:val="00AA2B03"/>
    <w:rsid w:val="00AB03EE"/>
    <w:rsid w:val="00AB7028"/>
    <w:rsid w:val="00B46BD1"/>
    <w:rsid w:val="00B75D59"/>
    <w:rsid w:val="00B85604"/>
    <w:rsid w:val="00BB34A4"/>
    <w:rsid w:val="00BC273A"/>
    <w:rsid w:val="00BC28D3"/>
    <w:rsid w:val="00BC2D43"/>
    <w:rsid w:val="00BD3206"/>
    <w:rsid w:val="00C15A8A"/>
    <w:rsid w:val="00C5022C"/>
    <w:rsid w:val="00C52011"/>
    <w:rsid w:val="00C872CE"/>
    <w:rsid w:val="00CA42CE"/>
    <w:rsid w:val="00CB7042"/>
    <w:rsid w:val="00CE271B"/>
    <w:rsid w:val="00D1546C"/>
    <w:rsid w:val="00D4540C"/>
    <w:rsid w:val="00DC5B9C"/>
    <w:rsid w:val="00DD3E24"/>
    <w:rsid w:val="00DF5558"/>
    <w:rsid w:val="00E57DC7"/>
    <w:rsid w:val="00EA2341"/>
    <w:rsid w:val="00EA3AB7"/>
    <w:rsid w:val="00EA7CEB"/>
    <w:rsid w:val="00EC1D09"/>
    <w:rsid w:val="00ED1F38"/>
    <w:rsid w:val="00F34CEA"/>
    <w:rsid w:val="00F4035E"/>
    <w:rsid w:val="00F422D6"/>
    <w:rsid w:val="00F67B27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D1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523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367"/>
    <w:rPr>
      <w:rFonts w:ascii="Calibri" w:eastAsia="Calibri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B0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09E"/>
  </w:style>
  <w:style w:type="paragraph" w:styleId="Pidipagina">
    <w:name w:val="footer"/>
    <w:basedOn w:val="Normale"/>
    <w:link w:val="PidipaginaCarattere"/>
    <w:uiPriority w:val="99"/>
    <w:unhideWhenUsed/>
    <w:rsid w:val="001B0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D1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523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367"/>
    <w:rPr>
      <w:rFonts w:ascii="Calibri" w:eastAsia="Calibri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B0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09E"/>
  </w:style>
  <w:style w:type="paragraph" w:styleId="Pidipagina">
    <w:name w:val="footer"/>
    <w:basedOn w:val="Normale"/>
    <w:link w:val="PidipaginaCarattere"/>
    <w:uiPriority w:val="99"/>
    <w:unhideWhenUsed/>
    <w:rsid w:val="001B0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Castellucci</dc:creator>
  <cp:lastModifiedBy>moretti</cp:lastModifiedBy>
  <cp:revision>16</cp:revision>
  <dcterms:created xsi:type="dcterms:W3CDTF">2020-06-22T14:48:00Z</dcterms:created>
  <dcterms:modified xsi:type="dcterms:W3CDTF">2020-07-02T06:55:00Z</dcterms:modified>
</cp:coreProperties>
</file>