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66A" w:rsidRPr="00A9166A" w:rsidRDefault="00A9166A" w:rsidP="00A9166A">
      <w:pPr>
        <w:spacing w:line="360" w:lineRule="auto"/>
        <w:ind w:right="-1"/>
        <w:jc w:val="right"/>
        <w:rPr>
          <w:rFonts w:ascii="Verdana" w:hAnsi="Verdana"/>
          <w:color w:val="00467E"/>
          <w:sz w:val="20"/>
          <w:szCs w:val="20"/>
        </w:rPr>
      </w:pPr>
      <w:bookmarkStart w:id="0" w:name="_GoBack"/>
      <w:bookmarkEnd w:id="0"/>
      <w:r w:rsidRPr="00A9166A">
        <w:rPr>
          <w:rFonts w:ascii="Verdana" w:hAnsi="Verdana"/>
          <w:color w:val="00467E"/>
          <w:sz w:val="20"/>
          <w:szCs w:val="20"/>
        </w:rPr>
        <w:t xml:space="preserve">Roma, </w:t>
      </w:r>
      <w:r>
        <w:rPr>
          <w:rFonts w:ascii="Verdana" w:hAnsi="Verdana"/>
          <w:color w:val="00467E"/>
          <w:sz w:val="20"/>
          <w:szCs w:val="20"/>
        </w:rPr>
        <w:t>20 aprile 2017</w:t>
      </w:r>
    </w:p>
    <w:p w:rsidR="009851D9" w:rsidRPr="00A9166A" w:rsidRDefault="009851D9" w:rsidP="00A9166A">
      <w:pPr>
        <w:spacing w:line="360" w:lineRule="auto"/>
        <w:ind w:right="-1"/>
        <w:jc w:val="center"/>
        <w:rPr>
          <w:rFonts w:ascii="Verdana" w:hAnsi="Verdana"/>
          <w:b/>
          <w:color w:val="00467E"/>
          <w:sz w:val="24"/>
        </w:rPr>
      </w:pPr>
      <w:r w:rsidRPr="006866C4">
        <w:rPr>
          <w:rFonts w:ascii="Verdana" w:hAnsi="Verdana"/>
          <w:b/>
          <w:color w:val="00467E"/>
          <w:sz w:val="24"/>
        </w:rPr>
        <w:t>Sintesi per la stampa</w:t>
      </w:r>
    </w:p>
    <w:p w:rsidR="009851D9" w:rsidRPr="006866C4" w:rsidRDefault="009851D9" w:rsidP="006866C4">
      <w:pPr>
        <w:spacing w:line="360" w:lineRule="auto"/>
        <w:ind w:right="-1"/>
        <w:jc w:val="center"/>
        <w:rPr>
          <w:rFonts w:ascii="Verdana" w:hAnsi="Verdana"/>
          <w:b/>
          <w:color w:val="00467E"/>
        </w:rPr>
      </w:pPr>
      <w:r w:rsidRPr="006866C4">
        <w:rPr>
          <w:rFonts w:ascii="Verdana" w:hAnsi="Verdana"/>
          <w:b/>
          <w:color w:val="00467E"/>
        </w:rPr>
        <w:t>Tavola rotonda dal titolo "Mercato Pubblico, centralizzazione</w:t>
      </w:r>
      <w:r w:rsidR="006866C4">
        <w:rPr>
          <w:rFonts w:ascii="Verdana" w:hAnsi="Verdana"/>
          <w:b/>
          <w:color w:val="00467E"/>
        </w:rPr>
        <w:br/>
      </w:r>
      <w:r w:rsidRPr="006866C4">
        <w:rPr>
          <w:rFonts w:ascii="Verdana" w:hAnsi="Verdana"/>
          <w:b/>
          <w:color w:val="00467E"/>
        </w:rPr>
        <w:t xml:space="preserve"> e tutela della concorrenza</w:t>
      </w:r>
      <w:r w:rsidR="00A9166A">
        <w:rPr>
          <w:rFonts w:ascii="Verdana" w:hAnsi="Verdana"/>
          <w:b/>
          <w:color w:val="00467E"/>
        </w:rPr>
        <w:t>”</w:t>
      </w:r>
    </w:p>
    <w:p w:rsidR="006A5C6C" w:rsidRPr="00A9166A" w:rsidRDefault="00887DBE" w:rsidP="006866C4">
      <w:pPr>
        <w:spacing w:line="360" w:lineRule="auto"/>
        <w:ind w:right="-1"/>
        <w:jc w:val="both"/>
        <w:rPr>
          <w:rFonts w:ascii="Verdana" w:hAnsi="Verdana"/>
          <w:sz w:val="20"/>
          <w:szCs w:val="20"/>
        </w:rPr>
      </w:pPr>
      <w:r w:rsidRPr="00A9166A">
        <w:rPr>
          <w:rFonts w:ascii="Verdana" w:hAnsi="Verdana"/>
          <w:sz w:val="20"/>
          <w:szCs w:val="20"/>
        </w:rPr>
        <w:t xml:space="preserve">Le </w:t>
      </w:r>
      <w:r w:rsidR="009851D9" w:rsidRPr="00A9166A">
        <w:rPr>
          <w:rFonts w:ascii="Verdana" w:hAnsi="Verdana"/>
          <w:sz w:val="20"/>
          <w:szCs w:val="20"/>
        </w:rPr>
        <w:t xml:space="preserve">PMI soffrono e denunziano in ogni sede, anche attraverso le associazioni di categoria rappresentative dei relativi interessi, una crescente difficoltà a prendere parte alle procedure di gara ad evidenza pubblica, a causa della progressiva centralizzazione degli acquisiti e del crescente valore degli appalti, con richiesta di requisiti di fatturato sproporzionati rispetto alle esigenze di massima apertura del mercato pubblico propugnate dall'Unione Europea. </w:t>
      </w:r>
    </w:p>
    <w:p w:rsidR="009851D9" w:rsidRPr="00A9166A" w:rsidRDefault="009851D9" w:rsidP="006866C4">
      <w:pPr>
        <w:spacing w:line="360" w:lineRule="auto"/>
        <w:ind w:right="-1"/>
        <w:jc w:val="both"/>
        <w:rPr>
          <w:rFonts w:ascii="Verdana" w:hAnsi="Verdana"/>
          <w:sz w:val="20"/>
          <w:szCs w:val="20"/>
        </w:rPr>
      </w:pPr>
      <w:r w:rsidRPr="00A9166A">
        <w:rPr>
          <w:rFonts w:ascii="Verdana" w:hAnsi="Verdana"/>
          <w:sz w:val="20"/>
          <w:szCs w:val="20"/>
        </w:rPr>
        <w:t xml:space="preserve">Ciò è in larga parte dovuto alle varie leggi di Stabilità e di contenimento della spesa pubblica che si sono succedute nel tempo, soprattutto dal 2007 in poi, che, in attuazione di una </w:t>
      </w:r>
      <w:r w:rsidR="00F31EDA" w:rsidRPr="00A9166A">
        <w:rPr>
          <w:rFonts w:ascii="Verdana" w:hAnsi="Verdana"/>
          <w:sz w:val="20"/>
          <w:szCs w:val="20"/>
        </w:rPr>
        <w:t xml:space="preserve">erronea </w:t>
      </w:r>
      <w:r w:rsidRPr="00A9166A">
        <w:rPr>
          <w:rFonts w:ascii="Verdana" w:hAnsi="Verdana"/>
          <w:sz w:val="20"/>
          <w:szCs w:val="20"/>
        </w:rPr>
        <w:t xml:space="preserve"> politica di centralizzazione della spesa per l'acquisto di beni e servizi, hanno comportato un fenomeno di aggregazione della domanda, che spesso prescinde da una </w:t>
      </w:r>
      <w:r w:rsidR="00F31EDA" w:rsidRPr="00A9166A">
        <w:rPr>
          <w:rFonts w:ascii="Verdana" w:hAnsi="Verdana"/>
          <w:sz w:val="20"/>
          <w:szCs w:val="20"/>
        </w:rPr>
        <w:t xml:space="preserve">doverosa </w:t>
      </w:r>
      <w:r w:rsidRPr="00A9166A">
        <w:rPr>
          <w:rFonts w:ascii="Verdana" w:hAnsi="Verdana"/>
          <w:sz w:val="20"/>
          <w:szCs w:val="20"/>
        </w:rPr>
        <w:t xml:space="preserve">analisi </w:t>
      </w:r>
      <w:r w:rsidR="00F31EDA" w:rsidRPr="00A9166A">
        <w:rPr>
          <w:rFonts w:ascii="Verdana" w:hAnsi="Verdana"/>
          <w:sz w:val="20"/>
          <w:szCs w:val="20"/>
        </w:rPr>
        <w:t xml:space="preserve">degli </w:t>
      </w:r>
      <w:r w:rsidRPr="00A9166A">
        <w:rPr>
          <w:rFonts w:ascii="Verdana" w:hAnsi="Verdana"/>
          <w:sz w:val="20"/>
          <w:szCs w:val="20"/>
        </w:rPr>
        <w:t xml:space="preserve">effetti che ne conseguono </w:t>
      </w:r>
      <w:r w:rsidR="00F31EDA" w:rsidRPr="00A9166A">
        <w:rPr>
          <w:rFonts w:ascii="Verdana" w:hAnsi="Verdana"/>
          <w:sz w:val="20"/>
          <w:szCs w:val="20"/>
        </w:rPr>
        <w:t xml:space="preserve">sulla </w:t>
      </w:r>
      <w:r w:rsidRPr="00A9166A">
        <w:rPr>
          <w:rFonts w:ascii="Verdana" w:hAnsi="Verdana"/>
          <w:sz w:val="20"/>
          <w:szCs w:val="20"/>
        </w:rPr>
        <w:t xml:space="preserve">struttura del mercato. </w:t>
      </w:r>
    </w:p>
    <w:p w:rsidR="00857004" w:rsidRPr="00A9166A" w:rsidRDefault="009851D9" w:rsidP="006866C4">
      <w:pPr>
        <w:spacing w:line="360" w:lineRule="auto"/>
        <w:ind w:right="-1"/>
        <w:jc w:val="both"/>
        <w:rPr>
          <w:rFonts w:ascii="Verdana" w:hAnsi="Verdana"/>
          <w:sz w:val="20"/>
          <w:szCs w:val="20"/>
        </w:rPr>
      </w:pPr>
      <w:r w:rsidRPr="00A9166A">
        <w:rPr>
          <w:rFonts w:ascii="Verdana" w:hAnsi="Verdana"/>
          <w:sz w:val="20"/>
          <w:szCs w:val="20"/>
        </w:rPr>
        <w:t xml:space="preserve">La politica della centralizzazione, così come attuata in Italia, non è dunque in linea con le esigenze </w:t>
      </w:r>
      <w:r w:rsidR="00983ED2" w:rsidRPr="00A9166A">
        <w:rPr>
          <w:rFonts w:ascii="Verdana" w:hAnsi="Verdana"/>
          <w:sz w:val="20"/>
          <w:szCs w:val="20"/>
        </w:rPr>
        <w:t xml:space="preserve">di tutela della concorrenza – di cui è diretta espressione il principio </w:t>
      </w:r>
      <w:r w:rsidRPr="00A9166A">
        <w:rPr>
          <w:rFonts w:ascii="Verdana" w:hAnsi="Verdana"/>
          <w:sz w:val="20"/>
          <w:szCs w:val="20"/>
        </w:rPr>
        <w:t>di massima partecipazione</w:t>
      </w:r>
      <w:r w:rsidR="00983ED2" w:rsidRPr="00A9166A">
        <w:rPr>
          <w:rFonts w:ascii="Verdana" w:hAnsi="Verdana"/>
          <w:sz w:val="20"/>
          <w:szCs w:val="20"/>
        </w:rPr>
        <w:t>, anche in via individuale,</w:t>
      </w:r>
      <w:r w:rsidRPr="00A9166A">
        <w:rPr>
          <w:rFonts w:ascii="Verdana" w:hAnsi="Verdana"/>
          <w:sz w:val="20"/>
          <w:szCs w:val="20"/>
        </w:rPr>
        <w:t xml:space="preserve"> delle PMI alle gare d'appalto</w:t>
      </w:r>
      <w:r w:rsidR="00983ED2" w:rsidRPr="00A9166A">
        <w:rPr>
          <w:rFonts w:ascii="Verdana" w:hAnsi="Verdana"/>
          <w:sz w:val="20"/>
          <w:szCs w:val="20"/>
        </w:rPr>
        <w:t xml:space="preserve"> - </w:t>
      </w:r>
      <w:r w:rsidRPr="00A9166A">
        <w:rPr>
          <w:rFonts w:ascii="Verdana" w:hAnsi="Verdana"/>
          <w:sz w:val="20"/>
          <w:szCs w:val="20"/>
        </w:rPr>
        <w:t xml:space="preserve">, indicate invero come priorità assoluta dall'Unione Europea, dapprima con lo </w:t>
      </w:r>
      <w:r w:rsidRPr="00A9166A">
        <w:rPr>
          <w:rFonts w:ascii="Verdana" w:hAnsi="Verdana"/>
          <w:i/>
          <w:sz w:val="20"/>
          <w:szCs w:val="20"/>
        </w:rPr>
        <w:t xml:space="preserve">Small Business </w:t>
      </w:r>
      <w:proofErr w:type="spellStart"/>
      <w:r w:rsidRPr="00A9166A">
        <w:rPr>
          <w:rFonts w:ascii="Verdana" w:hAnsi="Verdana"/>
          <w:i/>
          <w:sz w:val="20"/>
          <w:szCs w:val="20"/>
        </w:rPr>
        <w:t>Act</w:t>
      </w:r>
      <w:proofErr w:type="spellEnd"/>
      <w:r w:rsidRPr="00A9166A">
        <w:rPr>
          <w:rFonts w:ascii="Verdana" w:hAnsi="Verdana"/>
          <w:sz w:val="20"/>
          <w:szCs w:val="20"/>
        </w:rPr>
        <w:t xml:space="preserve"> della Commissione UE del 3 marzo 2010 (recepito in Italia con il cd. Statuto delle imprese) e oggi, a seguito del recepimento delle nuove direttive europee, </w:t>
      </w:r>
      <w:r w:rsidR="00E15FBF" w:rsidRPr="00A9166A">
        <w:rPr>
          <w:rFonts w:ascii="Verdana" w:hAnsi="Verdana"/>
          <w:sz w:val="20"/>
          <w:szCs w:val="20"/>
        </w:rPr>
        <w:t xml:space="preserve">in modo chiaro </w:t>
      </w:r>
      <w:r w:rsidRPr="00A9166A">
        <w:rPr>
          <w:rFonts w:ascii="Verdana" w:hAnsi="Verdana"/>
          <w:sz w:val="20"/>
          <w:szCs w:val="20"/>
        </w:rPr>
        <w:t>dal codice degli appalti pubblici e delle concessioni (</w:t>
      </w:r>
      <w:proofErr w:type="spellStart"/>
      <w:r w:rsidRPr="00A9166A">
        <w:rPr>
          <w:rFonts w:ascii="Verdana" w:hAnsi="Verdana"/>
          <w:sz w:val="20"/>
          <w:szCs w:val="20"/>
        </w:rPr>
        <w:t>D.Lgs.</w:t>
      </w:r>
      <w:proofErr w:type="spellEnd"/>
      <w:r w:rsidRPr="00A9166A">
        <w:rPr>
          <w:rFonts w:ascii="Verdana" w:hAnsi="Verdana"/>
          <w:sz w:val="20"/>
          <w:szCs w:val="20"/>
        </w:rPr>
        <w:t xml:space="preserve"> 19 aprile 2016, n. 50).</w:t>
      </w:r>
      <w:r w:rsidR="00857004" w:rsidRPr="00A9166A">
        <w:rPr>
          <w:rFonts w:ascii="Verdana" w:hAnsi="Verdana"/>
          <w:sz w:val="20"/>
          <w:szCs w:val="20"/>
        </w:rPr>
        <w:t xml:space="preserve"> </w:t>
      </w:r>
    </w:p>
    <w:p w:rsidR="009851D9" w:rsidRPr="00A9166A" w:rsidRDefault="009851D9" w:rsidP="006866C4">
      <w:pPr>
        <w:spacing w:line="360" w:lineRule="auto"/>
        <w:ind w:right="-1"/>
        <w:jc w:val="both"/>
        <w:rPr>
          <w:rFonts w:ascii="Verdana" w:hAnsi="Verdana"/>
          <w:sz w:val="20"/>
          <w:szCs w:val="20"/>
        </w:rPr>
      </w:pPr>
      <w:r w:rsidRPr="00A9166A">
        <w:rPr>
          <w:rFonts w:ascii="Verdana" w:hAnsi="Verdana"/>
          <w:sz w:val="20"/>
          <w:szCs w:val="20"/>
        </w:rPr>
        <w:t>In occasione</w:t>
      </w:r>
      <w:r w:rsidR="00E15FBF" w:rsidRPr="00A9166A">
        <w:rPr>
          <w:rFonts w:ascii="Verdana" w:hAnsi="Verdana"/>
          <w:sz w:val="20"/>
          <w:szCs w:val="20"/>
        </w:rPr>
        <w:t xml:space="preserve"> </w:t>
      </w:r>
      <w:r w:rsidRPr="00A9166A">
        <w:rPr>
          <w:rFonts w:ascii="Verdana" w:hAnsi="Verdana"/>
          <w:sz w:val="20"/>
          <w:szCs w:val="20"/>
        </w:rPr>
        <w:t xml:space="preserve">delle audizioni delle categorie interessate da parte dell'VIII Commissione sui Lavori Pubblici del Senato, sia la Confcommercio che la FNIP - Federazione Nazionale delle Imprese di Pulizia, servizi e multiservizi, hanno denunziato gli scarsi risultati ottenuti a tal proposito con l'introduzione, nell'abrogato codice, di diverse disposizioni a tal fine dirette. L'ostacolo più rilevante era da rinvenirsi, secondo le associazioni, nel perdurante valore sproporzionato dei lotti nei quali continuavano ad essere suddivise le grandi gare d'appalto per l'acquisto di beni e servizi, nonostante la riforma del codice del 2011; con la conseguenza, ad esempio, che ai fini della partecipazione a tutta una serie di gare di </w:t>
      </w:r>
      <w:proofErr w:type="spellStart"/>
      <w:r w:rsidRPr="00A9166A">
        <w:rPr>
          <w:rFonts w:ascii="Verdana" w:hAnsi="Verdana"/>
          <w:i/>
          <w:sz w:val="20"/>
          <w:szCs w:val="20"/>
        </w:rPr>
        <w:t>Facility</w:t>
      </w:r>
      <w:proofErr w:type="spellEnd"/>
      <w:r w:rsidRPr="00A9166A">
        <w:rPr>
          <w:rFonts w:ascii="Verdana" w:hAnsi="Verdana"/>
          <w:sz w:val="20"/>
          <w:szCs w:val="20"/>
        </w:rPr>
        <w:t xml:space="preserve">, indette da </w:t>
      </w:r>
      <w:proofErr w:type="spellStart"/>
      <w:r w:rsidRPr="00A9166A">
        <w:rPr>
          <w:rFonts w:ascii="Verdana" w:hAnsi="Verdana"/>
          <w:sz w:val="20"/>
          <w:szCs w:val="20"/>
        </w:rPr>
        <w:t>Consip</w:t>
      </w:r>
      <w:proofErr w:type="spellEnd"/>
      <w:r w:rsidRPr="00A9166A">
        <w:rPr>
          <w:rFonts w:ascii="Verdana" w:hAnsi="Verdana"/>
          <w:sz w:val="20"/>
          <w:szCs w:val="20"/>
        </w:rPr>
        <w:t xml:space="preserve"> SpA tra il 2012 e il 2015 (Pulizia nelle scuole, FM 4 e Pulizia in ambienti sanitari), erano richiesti requisiti di fatturato enormi, di valore sproporzionato rispetto alle esigenze di massima </w:t>
      </w:r>
      <w:r w:rsidRPr="00A9166A">
        <w:rPr>
          <w:rFonts w:ascii="Verdana" w:hAnsi="Verdana"/>
          <w:sz w:val="20"/>
          <w:szCs w:val="20"/>
        </w:rPr>
        <w:lastRenderedPageBreak/>
        <w:t xml:space="preserve">apertura del mercato alle PMI, con valori peraltro idonei ad assorbire una rilevantissima quota di mercato (circa 7 miliardi della spesa pubblica programmata per i prossimi quattro anni). </w:t>
      </w:r>
    </w:p>
    <w:p w:rsidR="009851D9" w:rsidRPr="00A9166A" w:rsidRDefault="009851D9" w:rsidP="006866C4">
      <w:pPr>
        <w:spacing w:line="360" w:lineRule="auto"/>
        <w:ind w:right="-1"/>
        <w:jc w:val="both"/>
        <w:rPr>
          <w:rFonts w:ascii="Verdana" w:hAnsi="Verdana"/>
          <w:b/>
          <w:sz w:val="20"/>
          <w:szCs w:val="20"/>
        </w:rPr>
      </w:pPr>
      <w:r w:rsidRPr="00A9166A">
        <w:rPr>
          <w:rFonts w:ascii="Verdana" w:hAnsi="Verdana"/>
          <w:b/>
          <w:sz w:val="20"/>
          <w:szCs w:val="20"/>
        </w:rPr>
        <w:t xml:space="preserve">La non corretta applicazione della disciplina vigente e le storture che ne derivano nei mercati di riferimento sono state per di più confermate sia dall'Autorità per la Concorrenza e il Mercato, che ha accertato l'esistenza di accordi collusivi tra i più grandi player del mercato nell'ambito della partecipazione alle grandi gare </w:t>
      </w:r>
      <w:proofErr w:type="spellStart"/>
      <w:r w:rsidRPr="00A9166A">
        <w:rPr>
          <w:rFonts w:ascii="Verdana" w:hAnsi="Verdana"/>
          <w:b/>
          <w:sz w:val="20"/>
          <w:szCs w:val="20"/>
        </w:rPr>
        <w:t>Consip</w:t>
      </w:r>
      <w:proofErr w:type="spellEnd"/>
      <w:r w:rsidRPr="00A9166A">
        <w:rPr>
          <w:rFonts w:ascii="Verdana" w:hAnsi="Verdana"/>
          <w:b/>
          <w:sz w:val="20"/>
          <w:szCs w:val="20"/>
        </w:rPr>
        <w:t xml:space="preserve">, che dal giudice amministrativo, che ha di recente annullato un'importante gara di servizi indetta dalla medesima </w:t>
      </w:r>
      <w:proofErr w:type="spellStart"/>
      <w:r w:rsidRPr="00A9166A">
        <w:rPr>
          <w:rFonts w:ascii="Verdana" w:hAnsi="Verdana"/>
          <w:b/>
          <w:sz w:val="20"/>
          <w:szCs w:val="20"/>
        </w:rPr>
        <w:t>Consip</w:t>
      </w:r>
      <w:proofErr w:type="spellEnd"/>
      <w:r w:rsidRPr="00A9166A">
        <w:rPr>
          <w:rFonts w:ascii="Verdana" w:hAnsi="Verdana"/>
          <w:b/>
          <w:sz w:val="20"/>
          <w:szCs w:val="20"/>
        </w:rPr>
        <w:t>, proprio per gli effetti restrittivi che avrebbe generato.</w:t>
      </w:r>
    </w:p>
    <w:p w:rsidR="006866C4" w:rsidRPr="00A9166A" w:rsidRDefault="009851D9" w:rsidP="00AA126E">
      <w:pPr>
        <w:spacing w:line="360" w:lineRule="auto"/>
        <w:ind w:right="-1"/>
        <w:jc w:val="both"/>
        <w:rPr>
          <w:rFonts w:ascii="Verdana" w:eastAsia="Times New Roman" w:hAnsi="Verdana" w:cs="Arial"/>
          <w:b/>
          <w:color w:val="00467E"/>
          <w:sz w:val="20"/>
          <w:szCs w:val="20"/>
          <w:shd w:val="clear" w:color="auto" w:fill="FFFFFF"/>
        </w:rPr>
      </w:pPr>
      <w:r w:rsidRPr="00A9166A">
        <w:rPr>
          <w:rFonts w:ascii="Verdana" w:hAnsi="Verdana"/>
          <w:sz w:val="20"/>
          <w:szCs w:val="20"/>
        </w:rPr>
        <w:t xml:space="preserve">Se è pur vero che il nuovo codice degli appalti pubblici ha in qualche misura rimediato alla palese inefficienza, sul punto, di quello previgente, è altrettanto vero che la maggiore attenzione dedicata ad altri argomenti - primo fra tutti, proprio quello della centralizzazione degli acquisiti e della riduzione delle stazioni appaltanti - non consente alle associazioni maggiormente rappresentative del mondo delle PMI di poter affermare di essere soddisfatte. </w:t>
      </w:r>
    </w:p>
    <w:p w:rsidR="006866C4" w:rsidRPr="00A9166A" w:rsidRDefault="006866C4" w:rsidP="006866C4">
      <w:pPr>
        <w:spacing w:line="240" w:lineRule="auto"/>
        <w:ind w:right="-1"/>
        <w:jc w:val="center"/>
        <w:rPr>
          <w:rFonts w:ascii="Verdana" w:eastAsia="Times New Roman" w:hAnsi="Verdana" w:cs="Arial"/>
          <w:color w:val="000000"/>
          <w:sz w:val="20"/>
          <w:szCs w:val="20"/>
          <w:shd w:val="clear" w:color="auto" w:fill="FFFFFF"/>
        </w:rPr>
      </w:pPr>
    </w:p>
    <w:p w:rsidR="00613A29" w:rsidRPr="00A9166A" w:rsidRDefault="00613A29" w:rsidP="006866C4">
      <w:pPr>
        <w:spacing w:line="360" w:lineRule="auto"/>
        <w:ind w:right="-1"/>
        <w:jc w:val="both"/>
        <w:rPr>
          <w:rFonts w:ascii="Verdana" w:eastAsia="Times New Roman" w:hAnsi="Verdana" w:cs="Arial"/>
          <w:sz w:val="20"/>
          <w:szCs w:val="20"/>
          <w:shd w:val="clear" w:color="auto" w:fill="FFFFFF"/>
        </w:rPr>
      </w:pPr>
      <w:r w:rsidRPr="00A9166A">
        <w:rPr>
          <w:rFonts w:ascii="Verdana" w:eastAsia="Times New Roman" w:hAnsi="Verdana" w:cs="Arial"/>
          <w:color w:val="000000"/>
          <w:sz w:val="20"/>
          <w:szCs w:val="20"/>
          <w:shd w:val="clear" w:color="auto" w:fill="FFFFFF"/>
        </w:rPr>
        <w:t xml:space="preserve">Dal 2014 è prevista </w:t>
      </w:r>
      <w:r w:rsidR="00B91F95" w:rsidRPr="00A9166A">
        <w:rPr>
          <w:rFonts w:ascii="Verdana" w:eastAsia="Times New Roman" w:hAnsi="Verdana" w:cs="Arial"/>
          <w:color w:val="000000"/>
          <w:sz w:val="20"/>
          <w:szCs w:val="20"/>
          <w:shd w:val="clear" w:color="auto" w:fill="FFFFFF"/>
        </w:rPr>
        <w:t xml:space="preserve">l’obbligatorietà per le Pubbliche Amministrazioni centrali e periferiche, Regioni, enti regionali e loro consorzi o associazioni, enti del Servizio Sanitario Nazionale, di ricorrere a </w:t>
      </w:r>
      <w:proofErr w:type="spellStart"/>
      <w:r w:rsidR="00B91F95" w:rsidRPr="00A9166A">
        <w:rPr>
          <w:rFonts w:ascii="Verdana" w:eastAsia="Times New Roman" w:hAnsi="Verdana" w:cs="Arial"/>
          <w:color w:val="000000"/>
          <w:sz w:val="20"/>
          <w:szCs w:val="20"/>
          <w:shd w:val="clear" w:color="auto" w:fill="FFFFFF"/>
        </w:rPr>
        <w:t>Consip</w:t>
      </w:r>
      <w:proofErr w:type="spellEnd"/>
      <w:r w:rsidR="00B91F95" w:rsidRPr="00A9166A">
        <w:rPr>
          <w:rFonts w:ascii="Verdana" w:eastAsia="Times New Roman" w:hAnsi="Verdana" w:cs="Arial"/>
          <w:color w:val="000000"/>
          <w:sz w:val="20"/>
          <w:szCs w:val="20"/>
          <w:shd w:val="clear" w:color="auto" w:fill="FFFFFF"/>
        </w:rPr>
        <w:t xml:space="preserve"> o altro Soggetto Aggregatore per le relative procedure di acquisto per individuate categorie di beni e servizi. </w:t>
      </w:r>
    </w:p>
    <w:p w:rsidR="00296096" w:rsidRPr="00A9166A" w:rsidRDefault="00296096" w:rsidP="006866C4">
      <w:pPr>
        <w:spacing w:after="240" w:line="360" w:lineRule="auto"/>
        <w:ind w:right="-1"/>
        <w:jc w:val="both"/>
        <w:rPr>
          <w:rFonts w:ascii="Verdana" w:hAnsi="Verdana"/>
          <w:i/>
          <w:sz w:val="20"/>
          <w:szCs w:val="20"/>
        </w:rPr>
      </w:pPr>
      <w:r w:rsidRPr="00A9166A">
        <w:rPr>
          <w:rFonts w:ascii="Verdana" w:hAnsi="Verdana"/>
          <w:sz w:val="20"/>
          <w:szCs w:val="20"/>
        </w:rPr>
        <w:t>Tra le maggiori criticità della disciplina vigente - che invero non riguardano tanto il nuovo codice, quanto le leggi sul contenimento della spesa pubblica e sulla centralizzazione degli acquisiti - si segnalano:</w:t>
      </w:r>
    </w:p>
    <w:p w:rsidR="00AE5C3F" w:rsidRPr="00A9166A" w:rsidRDefault="00522477" w:rsidP="006866C4">
      <w:pPr>
        <w:numPr>
          <w:ilvl w:val="0"/>
          <w:numId w:val="7"/>
        </w:numPr>
        <w:spacing w:after="0" w:line="360" w:lineRule="auto"/>
        <w:ind w:right="-1"/>
        <w:jc w:val="both"/>
        <w:rPr>
          <w:rFonts w:ascii="Verdana" w:eastAsia="Times New Roman" w:hAnsi="Verdana" w:cs="Arial"/>
          <w:color w:val="000000"/>
          <w:sz w:val="20"/>
          <w:szCs w:val="20"/>
          <w:shd w:val="clear" w:color="auto" w:fill="FFFFFF"/>
        </w:rPr>
      </w:pPr>
      <w:r w:rsidRPr="00A9166A">
        <w:rPr>
          <w:rFonts w:ascii="Verdana" w:hAnsi="Verdana"/>
          <w:sz w:val="20"/>
          <w:szCs w:val="20"/>
        </w:rPr>
        <w:t>Il volume delle gare pubbliche risente dell’andamento delle gare di maggiore dimensione.</w:t>
      </w:r>
      <w:r w:rsidR="00336FBC" w:rsidRPr="00A9166A">
        <w:rPr>
          <w:rFonts w:ascii="Verdana" w:hAnsi="Verdana"/>
          <w:sz w:val="20"/>
          <w:szCs w:val="20"/>
        </w:rPr>
        <w:t xml:space="preserve"> </w:t>
      </w:r>
      <w:r w:rsidR="00B91F95" w:rsidRPr="00A9166A">
        <w:rPr>
          <w:rFonts w:ascii="Verdana" w:eastAsia="Times New Roman" w:hAnsi="Verdana" w:cs="Arial"/>
          <w:color w:val="000000"/>
          <w:sz w:val="20"/>
          <w:szCs w:val="20"/>
          <w:shd w:val="clear" w:color="auto" w:fill="FFFFFF"/>
        </w:rPr>
        <w:t>A causa della maggiore centralizzazione, la dimensione delle gare d’appalto è cresciuta notevolmente rendendo ancora più difficile la vita alle PMI. E questo in un quadro in cui la Commissione UE chiede di garantire spazi per le piccole e medie imprese. </w:t>
      </w:r>
    </w:p>
    <w:p w:rsidR="00336FBC" w:rsidRPr="00A9166A" w:rsidRDefault="00AE5C3F" w:rsidP="006866C4">
      <w:pPr>
        <w:pStyle w:val="Paragrafoelenco"/>
        <w:numPr>
          <w:ilvl w:val="0"/>
          <w:numId w:val="7"/>
        </w:numPr>
        <w:spacing w:after="0" w:line="360" w:lineRule="auto"/>
        <w:ind w:right="-1"/>
        <w:jc w:val="both"/>
        <w:rPr>
          <w:rFonts w:ascii="Verdana" w:hAnsi="Verdana"/>
          <w:sz w:val="20"/>
          <w:szCs w:val="20"/>
        </w:rPr>
      </w:pPr>
      <w:r w:rsidRPr="00A9166A">
        <w:rPr>
          <w:rFonts w:ascii="Verdana" w:eastAsia="Times New Roman" w:hAnsi="Verdana" w:cs="Arial"/>
          <w:color w:val="000000"/>
          <w:sz w:val="20"/>
          <w:szCs w:val="20"/>
          <w:shd w:val="clear" w:color="auto" w:fill="FFFFFF"/>
        </w:rPr>
        <w:t xml:space="preserve">Il risparmio dichiarato in questi ultimi mesi dalle Centrali di committenza, in primis </w:t>
      </w:r>
      <w:proofErr w:type="spellStart"/>
      <w:r w:rsidRPr="00A9166A">
        <w:rPr>
          <w:rFonts w:ascii="Verdana" w:eastAsia="Times New Roman" w:hAnsi="Verdana" w:cs="Arial"/>
          <w:color w:val="000000"/>
          <w:sz w:val="20"/>
          <w:szCs w:val="20"/>
          <w:shd w:val="clear" w:color="auto" w:fill="FFFFFF"/>
        </w:rPr>
        <w:t>Consip</w:t>
      </w:r>
      <w:proofErr w:type="spellEnd"/>
      <w:r w:rsidRPr="00A9166A">
        <w:rPr>
          <w:rFonts w:ascii="Verdana" w:eastAsia="Times New Roman" w:hAnsi="Verdana" w:cs="Arial"/>
          <w:color w:val="000000"/>
          <w:sz w:val="20"/>
          <w:szCs w:val="20"/>
          <w:shd w:val="clear" w:color="auto" w:fill="FFFFFF"/>
        </w:rPr>
        <w:t xml:space="preserve">, che deriverebbe da questa concentrazione delle gare è, a nostro giudizio, vero solo sulla carta. I contratti conseguiti con </w:t>
      </w:r>
      <w:proofErr w:type="spellStart"/>
      <w:r w:rsidRPr="00A9166A">
        <w:rPr>
          <w:rFonts w:ascii="Verdana" w:eastAsia="Times New Roman" w:hAnsi="Verdana" w:cs="Arial"/>
          <w:color w:val="000000"/>
          <w:sz w:val="20"/>
          <w:szCs w:val="20"/>
          <w:shd w:val="clear" w:color="auto" w:fill="FFFFFF"/>
        </w:rPr>
        <w:t>Consip</w:t>
      </w:r>
      <w:proofErr w:type="spellEnd"/>
      <w:r w:rsidRPr="00A9166A">
        <w:rPr>
          <w:rFonts w:ascii="Verdana" w:eastAsia="Times New Roman" w:hAnsi="Verdana" w:cs="Arial"/>
          <w:color w:val="000000"/>
          <w:sz w:val="20"/>
          <w:szCs w:val="20"/>
          <w:shd w:val="clear" w:color="auto" w:fill="FFFFFF"/>
        </w:rPr>
        <w:t xml:space="preserve"> comportano prezzi con una quota ridotta relativa alla esecuzione del servizio se confrontati agli stessi precedenti contratti.  I</w:t>
      </w:r>
      <w:r w:rsidR="00336FBC" w:rsidRPr="00A9166A">
        <w:rPr>
          <w:rFonts w:ascii="Verdana" w:eastAsia="Times New Roman" w:hAnsi="Verdana" w:cs="Arial"/>
          <w:color w:val="000000"/>
          <w:sz w:val="20"/>
          <w:szCs w:val="20"/>
          <w:shd w:val="clear" w:color="auto" w:fill="FFFFFF"/>
        </w:rPr>
        <w:t>nfatti buona parte del prezzo è</w:t>
      </w:r>
      <w:r w:rsidRPr="00A9166A">
        <w:rPr>
          <w:rFonts w:ascii="Verdana" w:eastAsia="Times New Roman" w:hAnsi="Verdana" w:cs="Arial"/>
          <w:color w:val="000000"/>
          <w:sz w:val="20"/>
          <w:szCs w:val="20"/>
          <w:shd w:val="clear" w:color="auto" w:fill="FFFFFF"/>
        </w:rPr>
        <w:t xml:space="preserve"> relativa a servizi di anagrafica, informatica ed altro, svilendo il servizio.</w:t>
      </w:r>
    </w:p>
    <w:p w:rsidR="00336FBC" w:rsidRPr="00A9166A" w:rsidRDefault="00336FBC" w:rsidP="00857004">
      <w:pPr>
        <w:pStyle w:val="Paragrafoelenco"/>
        <w:numPr>
          <w:ilvl w:val="0"/>
          <w:numId w:val="10"/>
        </w:numPr>
        <w:spacing w:after="0" w:line="360" w:lineRule="auto"/>
        <w:ind w:right="-1"/>
        <w:jc w:val="both"/>
        <w:rPr>
          <w:rFonts w:ascii="Verdana" w:hAnsi="Verdana"/>
          <w:sz w:val="20"/>
          <w:szCs w:val="20"/>
        </w:rPr>
      </w:pPr>
      <w:r w:rsidRPr="00A9166A">
        <w:rPr>
          <w:rFonts w:ascii="Verdana" w:hAnsi="Verdana"/>
          <w:sz w:val="20"/>
          <w:szCs w:val="20"/>
        </w:rPr>
        <w:t xml:space="preserve">l'inesistenza di criteri legislativi stringenti, utili ad una maggiore perimetrazione della scelta, rimessa dalla legge ad un Decreto del Presidente del Consiglio, degli appalti di beni e servizi per i quali è obbligatorio l'acquisto attraverso i soggetti aggregatori. Da tale ambito dovrebbero ad esempio essere sottratti gli appalti di servizi </w:t>
      </w:r>
      <w:proofErr w:type="spellStart"/>
      <w:r w:rsidRPr="00A9166A">
        <w:rPr>
          <w:rFonts w:ascii="Verdana" w:hAnsi="Verdana"/>
          <w:i/>
          <w:sz w:val="20"/>
          <w:szCs w:val="20"/>
        </w:rPr>
        <w:t>labour</w:t>
      </w:r>
      <w:proofErr w:type="spellEnd"/>
      <w:r w:rsidRPr="00A9166A">
        <w:rPr>
          <w:rFonts w:ascii="Verdana" w:hAnsi="Verdana"/>
          <w:i/>
          <w:sz w:val="20"/>
          <w:szCs w:val="20"/>
        </w:rPr>
        <w:t xml:space="preserve"> intensive</w:t>
      </w:r>
      <w:r w:rsidRPr="00A9166A">
        <w:rPr>
          <w:rFonts w:ascii="Verdana" w:hAnsi="Verdana"/>
          <w:sz w:val="20"/>
          <w:szCs w:val="20"/>
        </w:rPr>
        <w:t xml:space="preserve">, per i quali non sono conseguibili le economie di scala cui mirano gli acquisiti centralizzati </w:t>
      </w:r>
      <w:r w:rsidRPr="00A9166A">
        <w:rPr>
          <w:rFonts w:ascii="Verdana" w:hAnsi="Verdana" w:cs="SegoeUI"/>
          <w:color w:val="000000"/>
          <w:spacing w:val="1"/>
          <w:sz w:val="20"/>
          <w:szCs w:val="20"/>
        </w:rPr>
        <w:t xml:space="preserve">l'obbligatorietà dell'acquisto tramite centrali di committenza anche quando il prezzo del bene o del servizio che la singola amministrazione potrebbe spuntare sul mercato possa essere inferiore a quello </w:t>
      </w:r>
      <w:proofErr w:type="spellStart"/>
      <w:r w:rsidRPr="00A9166A">
        <w:rPr>
          <w:rFonts w:ascii="Verdana" w:hAnsi="Verdana" w:cs="SegoeUI"/>
          <w:color w:val="000000"/>
          <w:spacing w:val="1"/>
          <w:sz w:val="20"/>
          <w:szCs w:val="20"/>
        </w:rPr>
        <w:t>Consip</w:t>
      </w:r>
      <w:proofErr w:type="spellEnd"/>
      <w:r w:rsidRPr="00A9166A">
        <w:rPr>
          <w:rFonts w:ascii="Verdana" w:hAnsi="Verdana" w:cs="SegoeUI"/>
          <w:color w:val="000000"/>
          <w:spacing w:val="1"/>
          <w:sz w:val="20"/>
          <w:szCs w:val="20"/>
        </w:rPr>
        <w:t xml:space="preserve"> </w:t>
      </w:r>
    </w:p>
    <w:p w:rsidR="00336FBC" w:rsidRPr="00A9166A" w:rsidRDefault="00336FBC" w:rsidP="006866C4">
      <w:pPr>
        <w:pStyle w:val="Paragrafoelenco"/>
        <w:numPr>
          <w:ilvl w:val="0"/>
          <w:numId w:val="10"/>
        </w:numPr>
        <w:spacing w:after="0" w:line="360" w:lineRule="auto"/>
        <w:ind w:right="-1"/>
        <w:jc w:val="both"/>
        <w:rPr>
          <w:rFonts w:ascii="Verdana" w:hAnsi="Verdana"/>
          <w:sz w:val="20"/>
          <w:szCs w:val="20"/>
        </w:rPr>
      </w:pPr>
      <w:r w:rsidRPr="00A9166A">
        <w:rPr>
          <w:rFonts w:ascii="Verdana" w:hAnsi="Verdana"/>
          <w:sz w:val="20"/>
          <w:szCs w:val="20"/>
        </w:rPr>
        <w:t xml:space="preserve">l'attribuzione ad un organo del Tavolo tecnico dei soggetti aggregatori del compito di emanare le linee guida sulle </w:t>
      </w:r>
      <w:r w:rsidRPr="00A9166A">
        <w:rPr>
          <w:rFonts w:ascii="Verdana" w:hAnsi="Verdana"/>
          <w:i/>
          <w:sz w:val="20"/>
          <w:szCs w:val="20"/>
        </w:rPr>
        <w:t xml:space="preserve">best </w:t>
      </w:r>
      <w:proofErr w:type="spellStart"/>
      <w:r w:rsidRPr="00A9166A">
        <w:rPr>
          <w:rFonts w:ascii="Verdana" w:hAnsi="Verdana"/>
          <w:i/>
          <w:sz w:val="20"/>
          <w:szCs w:val="20"/>
        </w:rPr>
        <w:t>practi</w:t>
      </w:r>
      <w:r w:rsidR="00E73FE6" w:rsidRPr="00A9166A">
        <w:rPr>
          <w:rFonts w:ascii="Verdana" w:hAnsi="Verdana"/>
          <w:i/>
          <w:sz w:val="20"/>
          <w:szCs w:val="20"/>
        </w:rPr>
        <w:t>c</w:t>
      </w:r>
      <w:r w:rsidRPr="00A9166A">
        <w:rPr>
          <w:rFonts w:ascii="Verdana" w:hAnsi="Verdana"/>
          <w:i/>
          <w:sz w:val="20"/>
          <w:szCs w:val="20"/>
        </w:rPr>
        <w:t>es</w:t>
      </w:r>
      <w:proofErr w:type="spellEnd"/>
      <w:r w:rsidRPr="00A9166A">
        <w:rPr>
          <w:rFonts w:ascii="Verdana" w:hAnsi="Verdana"/>
          <w:sz w:val="20"/>
          <w:szCs w:val="20"/>
        </w:rPr>
        <w:t xml:space="preserve">, per una corretta suddivisione in lotti, utile ad una maggiore apertura del mercato pubblico in favore delle PMI. Tale compito andrebbe piuttosto attribuito </w:t>
      </w:r>
      <w:proofErr w:type="spellStart"/>
      <w:r w:rsidRPr="00A9166A">
        <w:rPr>
          <w:rFonts w:ascii="Verdana" w:hAnsi="Verdana"/>
          <w:sz w:val="20"/>
          <w:szCs w:val="20"/>
        </w:rPr>
        <w:t>all'Anac</w:t>
      </w:r>
      <w:proofErr w:type="spellEnd"/>
      <w:r w:rsidRPr="00A9166A">
        <w:rPr>
          <w:rFonts w:ascii="Verdana" w:hAnsi="Verdana"/>
          <w:sz w:val="20"/>
          <w:szCs w:val="20"/>
        </w:rPr>
        <w:t xml:space="preserve">, così come avviene in genere per la soft law prevista dal codice, e non certo ad un organo rappresentativo dei soggetti destinatari delle stesse linee guida e delle stesse </w:t>
      </w:r>
      <w:r w:rsidRPr="00A9166A">
        <w:rPr>
          <w:rFonts w:ascii="Verdana" w:hAnsi="Verdana"/>
          <w:i/>
          <w:sz w:val="20"/>
          <w:szCs w:val="20"/>
        </w:rPr>
        <w:t xml:space="preserve">best </w:t>
      </w:r>
      <w:proofErr w:type="spellStart"/>
      <w:r w:rsidRPr="00A9166A">
        <w:rPr>
          <w:rFonts w:ascii="Verdana" w:hAnsi="Verdana"/>
          <w:i/>
          <w:sz w:val="20"/>
          <w:szCs w:val="20"/>
        </w:rPr>
        <w:t>practi</w:t>
      </w:r>
      <w:r w:rsidR="00E73FE6" w:rsidRPr="00A9166A">
        <w:rPr>
          <w:rFonts w:ascii="Verdana" w:hAnsi="Verdana"/>
          <w:sz w:val="20"/>
          <w:szCs w:val="20"/>
        </w:rPr>
        <w:t>c</w:t>
      </w:r>
      <w:r w:rsidRPr="00A9166A">
        <w:rPr>
          <w:rFonts w:ascii="Verdana" w:hAnsi="Verdana"/>
          <w:i/>
          <w:sz w:val="20"/>
          <w:szCs w:val="20"/>
        </w:rPr>
        <w:t>es</w:t>
      </w:r>
      <w:proofErr w:type="spellEnd"/>
      <w:r w:rsidRPr="00A9166A">
        <w:rPr>
          <w:rFonts w:ascii="Verdana" w:hAnsi="Verdana"/>
          <w:sz w:val="20"/>
          <w:szCs w:val="20"/>
        </w:rPr>
        <w:t>.</w:t>
      </w:r>
    </w:p>
    <w:p w:rsidR="00336FBC" w:rsidRPr="00A9166A" w:rsidRDefault="00336FBC" w:rsidP="006866C4">
      <w:pPr>
        <w:numPr>
          <w:ilvl w:val="0"/>
          <w:numId w:val="10"/>
        </w:numPr>
        <w:spacing w:after="0" w:line="360" w:lineRule="auto"/>
        <w:ind w:right="-1"/>
        <w:jc w:val="both"/>
        <w:rPr>
          <w:rFonts w:ascii="Verdana" w:hAnsi="Verdana"/>
          <w:sz w:val="20"/>
          <w:szCs w:val="20"/>
        </w:rPr>
      </w:pPr>
      <w:r w:rsidRPr="00A9166A">
        <w:rPr>
          <w:rFonts w:ascii="Verdana" w:hAnsi="Verdana" w:cs="Arial"/>
          <w:sz w:val="20"/>
          <w:szCs w:val="20"/>
        </w:rPr>
        <w:t>Necessità di verificare la possibilità che i soggetti aggregatori operino su base regionale per la creazione di benchmark di riferimento per categorie di prodotti omogenei e di servizi alla P.A. nell’ottica della semplificazione dei processi di acquisizione e della tutela della concorrenza.</w:t>
      </w:r>
    </w:p>
    <w:p w:rsidR="00FC7769" w:rsidRPr="00A9166A" w:rsidRDefault="00FC7769" w:rsidP="006866C4">
      <w:pPr>
        <w:pStyle w:val="Paragrafoelenco"/>
        <w:numPr>
          <w:ilvl w:val="0"/>
          <w:numId w:val="2"/>
        </w:numPr>
        <w:spacing w:line="360" w:lineRule="auto"/>
        <w:ind w:right="-1"/>
        <w:jc w:val="both"/>
        <w:rPr>
          <w:rFonts w:ascii="Verdana" w:eastAsia="Arial Unicode MS" w:hAnsi="Verdana" w:cs="Arial Unicode MS"/>
          <w:b/>
          <w:sz w:val="20"/>
          <w:szCs w:val="20"/>
        </w:rPr>
      </w:pPr>
      <w:r w:rsidRPr="00A9166A">
        <w:rPr>
          <w:rFonts w:ascii="Verdana" w:eastAsia="Arial Unicode MS" w:hAnsi="Verdana" w:cs="Arial Unicode MS"/>
          <w:b/>
          <w:sz w:val="20"/>
          <w:szCs w:val="20"/>
        </w:rPr>
        <w:t>Finalità della suddivisione degli appalti in lotti è quella di favorire l'accesso delle micro, piccole e medie imprese (art. 51 D.lgs. 50/2016).</w:t>
      </w:r>
    </w:p>
    <w:p w:rsidR="00C12D65" w:rsidRPr="00A9166A" w:rsidRDefault="00FC7769" w:rsidP="006866C4">
      <w:pPr>
        <w:pStyle w:val="Paragrafoelenco"/>
        <w:spacing w:line="360" w:lineRule="auto"/>
        <w:ind w:right="-1"/>
        <w:jc w:val="both"/>
        <w:rPr>
          <w:rFonts w:ascii="Verdana" w:eastAsia="Arial Unicode MS" w:hAnsi="Verdana" w:cs="Arial Unicode MS"/>
          <w:sz w:val="20"/>
          <w:szCs w:val="20"/>
        </w:rPr>
      </w:pPr>
      <w:r w:rsidRPr="00A9166A">
        <w:rPr>
          <w:rFonts w:ascii="Verdana" w:eastAsia="Arial Unicode MS" w:hAnsi="Verdana" w:cs="Arial Unicode MS"/>
          <w:sz w:val="20"/>
          <w:szCs w:val="20"/>
        </w:rPr>
        <w:t>La suddivisione deve tener conto:</w:t>
      </w:r>
    </w:p>
    <w:p w:rsidR="00FC7769" w:rsidRPr="00A9166A" w:rsidRDefault="00FC7769" w:rsidP="00437A13">
      <w:pPr>
        <w:pStyle w:val="Paragrafoelenco"/>
        <w:numPr>
          <w:ilvl w:val="0"/>
          <w:numId w:val="11"/>
        </w:numPr>
        <w:spacing w:line="360" w:lineRule="auto"/>
        <w:ind w:right="-1"/>
        <w:jc w:val="both"/>
        <w:rPr>
          <w:rFonts w:ascii="Verdana" w:eastAsia="Arial Unicode MS" w:hAnsi="Verdana" w:cs="Arial Unicode MS"/>
          <w:sz w:val="20"/>
          <w:szCs w:val="20"/>
        </w:rPr>
      </w:pPr>
      <w:r w:rsidRPr="00A9166A">
        <w:rPr>
          <w:rFonts w:ascii="Verdana" w:eastAsia="Arial Unicode MS" w:hAnsi="Verdana" w:cs="Arial Unicode MS"/>
          <w:sz w:val="20"/>
          <w:szCs w:val="20"/>
        </w:rPr>
        <w:t>della «</w:t>
      </w:r>
      <w:r w:rsidRPr="00A9166A">
        <w:rPr>
          <w:rFonts w:ascii="Verdana" w:eastAsia="Arial Unicode MS" w:hAnsi="Verdana" w:cs="Arial Unicode MS"/>
          <w:b/>
          <w:sz w:val="20"/>
          <w:szCs w:val="20"/>
        </w:rPr>
        <w:t>funzionalità</w:t>
      </w:r>
      <w:r w:rsidRPr="00A9166A">
        <w:rPr>
          <w:rFonts w:ascii="Verdana" w:eastAsia="Arial Unicode MS" w:hAnsi="Verdana" w:cs="Arial Unicode MS"/>
          <w:sz w:val="20"/>
          <w:szCs w:val="20"/>
        </w:rPr>
        <w:t xml:space="preserve">», (articolo 3, comma 1, lettera </w:t>
      </w:r>
      <w:proofErr w:type="spellStart"/>
      <w:r w:rsidRPr="00A9166A">
        <w:rPr>
          <w:rFonts w:ascii="Verdana" w:eastAsia="Arial Unicode MS" w:hAnsi="Verdana" w:cs="Arial Unicode MS"/>
          <w:sz w:val="20"/>
          <w:szCs w:val="20"/>
        </w:rPr>
        <w:t>qq</w:t>
      </w:r>
      <w:proofErr w:type="spellEnd"/>
      <w:r w:rsidRPr="00A9166A">
        <w:rPr>
          <w:rFonts w:ascii="Verdana" w:eastAsia="Arial Unicode MS" w:hAnsi="Verdana" w:cs="Arial Unicode MS"/>
          <w:sz w:val="20"/>
          <w:szCs w:val="20"/>
        </w:rPr>
        <w:t>), suddividendo un servizio generale in parti la cui esecuzione sia tale da assicurarne funzionalità, fruibilità e fattibilità indipendentemente dalla realizzazione delle altre parti;</w:t>
      </w:r>
    </w:p>
    <w:p w:rsidR="003B7D97" w:rsidRPr="00A9166A" w:rsidRDefault="00FC7769" w:rsidP="00437A13">
      <w:pPr>
        <w:pStyle w:val="Paragrafoelenco"/>
        <w:numPr>
          <w:ilvl w:val="0"/>
          <w:numId w:val="11"/>
        </w:numPr>
        <w:spacing w:after="0" w:line="360" w:lineRule="auto"/>
        <w:ind w:left="1418" w:right="-1"/>
        <w:jc w:val="both"/>
        <w:rPr>
          <w:rFonts w:ascii="Verdana" w:hAnsi="Verdana" w:cs="Arial"/>
          <w:sz w:val="20"/>
          <w:szCs w:val="20"/>
        </w:rPr>
      </w:pPr>
      <w:r w:rsidRPr="00A9166A">
        <w:rPr>
          <w:rFonts w:ascii="Verdana" w:eastAsia="Arial Unicode MS" w:hAnsi="Verdana" w:cs="Arial Unicode MS"/>
          <w:sz w:val="20"/>
          <w:szCs w:val="20"/>
        </w:rPr>
        <w:t xml:space="preserve">della tipologia di </w:t>
      </w:r>
      <w:r w:rsidRPr="00A9166A">
        <w:rPr>
          <w:rFonts w:ascii="Verdana" w:eastAsia="Arial Unicode MS" w:hAnsi="Verdana" w:cs="Arial Unicode MS"/>
          <w:b/>
          <w:sz w:val="20"/>
          <w:szCs w:val="20"/>
        </w:rPr>
        <w:t xml:space="preserve">prestazione </w:t>
      </w:r>
      <w:r w:rsidRPr="00A9166A">
        <w:rPr>
          <w:rFonts w:ascii="Verdana" w:eastAsia="Arial Unicode MS" w:hAnsi="Verdana" w:cs="Arial Unicode MS"/>
          <w:sz w:val="20"/>
          <w:szCs w:val="20"/>
        </w:rPr>
        <w:t xml:space="preserve">(articolo 3, comma 1, lettera </w:t>
      </w:r>
      <w:proofErr w:type="spellStart"/>
      <w:r w:rsidRPr="00A9166A">
        <w:rPr>
          <w:rFonts w:ascii="Verdana" w:eastAsia="Arial Unicode MS" w:hAnsi="Verdana" w:cs="Arial Unicode MS"/>
          <w:sz w:val="20"/>
          <w:szCs w:val="20"/>
        </w:rPr>
        <w:t>ggggg</w:t>
      </w:r>
      <w:proofErr w:type="spellEnd"/>
      <w:r w:rsidRPr="00A9166A">
        <w:rPr>
          <w:rFonts w:ascii="Verdana" w:eastAsia="Arial Unicode MS" w:hAnsi="Verdana" w:cs="Arial Unicode MS"/>
          <w:sz w:val="20"/>
          <w:szCs w:val="20"/>
        </w:rPr>
        <w:t>), ovvero del «</w:t>
      </w:r>
      <w:r w:rsidRPr="00A9166A">
        <w:rPr>
          <w:rFonts w:ascii="Verdana" w:eastAsia="Arial Unicode MS" w:hAnsi="Verdana" w:cs="Arial Unicode MS"/>
          <w:b/>
          <w:sz w:val="20"/>
          <w:szCs w:val="20"/>
        </w:rPr>
        <w:t>lotto prestazionale</w:t>
      </w:r>
      <w:r w:rsidRPr="00A9166A">
        <w:rPr>
          <w:rFonts w:ascii="Verdana" w:eastAsia="Arial Unicode MS" w:hAnsi="Verdana" w:cs="Arial Unicode MS"/>
          <w:sz w:val="20"/>
          <w:szCs w:val="20"/>
        </w:rPr>
        <w:t>», definito su base qualitativa, in conformità alle varie categorie e specializzazioni presenti.</w:t>
      </w:r>
      <w:r w:rsidR="00E627F6" w:rsidRPr="00A9166A">
        <w:rPr>
          <w:rFonts w:ascii="Verdana" w:eastAsia="Arial Unicode MS" w:hAnsi="Verdana" w:cs="Arial Unicode MS"/>
          <w:sz w:val="20"/>
          <w:szCs w:val="20"/>
        </w:rPr>
        <w:t xml:space="preserve"> </w:t>
      </w:r>
      <w:r w:rsidRPr="00A9166A">
        <w:rPr>
          <w:rFonts w:ascii="Verdana" w:eastAsia="Arial Unicode MS" w:hAnsi="Verdana" w:cs="Arial Unicode MS"/>
          <w:sz w:val="20"/>
          <w:szCs w:val="20"/>
        </w:rPr>
        <w:t xml:space="preserve">Una suddivisione in lotti di importo </w:t>
      </w:r>
      <w:r w:rsidRPr="00A9166A">
        <w:rPr>
          <w:rFonts w:ascii="Verdana" w:eastAsia="Arial Unicode MS" w:hAnsi="Verdana" w:cs="Arial Unicode MS"/>
          <w:b/>
          <w:i/>
          <w:sz w:val="20"/>
          <w:szCs w:val="20"/>
        </w:rPr>
        <w:t>logicamente</w:t>
      </w:r>
      <w:r w:rsidRPr="00A9166A">
        <w:rPr>
          <w:rFonts w:ascii="Verdana" w:eastAsia="Arial Unicode MS" w:hAnsi="Verdana" w:cs="Arial Unicode MS"/>
          <w:b/>
          <w:sz w:val="20"/>
          <w:szCs w:val="20"/>
        </w:rPr>
        <w:t xml:space="preserve"> determinato</w:t>
      </w:r>
      <w:r w:rsidRPr="00A9166A">
        <w:rPr>
          <w:rFonts w:ascii="Verdana" w:eastAsia="Arial Unicode MS" w:hAnsi="Verdana" w:cs="Arial Unicode MS"/>
          <w:sz w:val="20"/>
          <w:szCs w:val="20"/>
        </w:rPr>
        <w:t>, i cui requisiti proporzionati garantiscano l’accesso ad un maggior numero di operatori di mercato, riuscirebbe al contempo a tutelare ta</w:t>
      </w:r>
      <w:r w:rsidR="001C748D" w:rsidRPr="00A9166A">
        <w:rPr>
          <w:rFonts w:ascii="Verdana" w:eastAsia="Arial Unicode MS" w:hAnsi="Verdana" w:cs="Arial Unicode MS"/>
          <w:sz w:val="20"/>
          <w:szCs w:val="20"/>
        </w:rPr>
        <w:t xml:space="preserve">nto l’accesso delle </w:t>
      </w:r>
      <w:r w:rsidRPr="00A9166A">
        <w:rPr>
          <w:rFonts w:ascii="Verdana" w:eastAsia="Arial Unicode MS" w:hAnsi="Verdana" w:cs="Arial Unicode MS"/>
          <w:sz w:val="20"/>
          <w:szCs w:val="20"/>
        </w:rPr>
        <w:t>PMI che l’interesse pubblico.</w:t>
      </w:r>
    </w:p>
    <w:p w:rsidR="003B7D97" w:rsidRPr="00A9166A" w:rsidRDefault="003B7D97" w:rsidP="006866C4">
      <w:pPr>
        <w:numPr>
          <w:ilvl w:val="0"/>
          <w:numId w:val="2"/>
        </w:numPr>
        <w:spacing w:after="0" w:line="360" w:lineRule="auto"/>
        <w:ind w:right="-1"/>
        <w:jc w:val="both"/>
        <w:rPr>
          <w:rFonts w:ascii="Verdana" w:hAnsi="Verdana" w:cs="Arial"/>
          <w:sz w:val="20"/>
          <w:szCs w:val="20"/>
        </w:rPr>
      </w:pPr>
      <w:r w:rsidRPr="00A9166A">
        <w:rPr>
          <w:rFonts w:ascii="Verdana" w:hAnsi="Verdana" w:cs="Arial"/>
          <w:sz w:val="20"/>
          <w:szCs w:val="20"/>
        </w:rPr>
        <w:t xml:space="preserve">Riguardo alla procedura di cui all’art. 66 del D </w:t>
      </w:r>
      <w:proofErr w:type="spellStart"/>
      <w:r w:rsidRPr="00A9166A">
        <w:rPr>
          <w:rFonts w:ascii="Verdana" w:hAnsi="Verdana" w:cs="Arial"/>
          <w:sz w:val="20"/>
          <w:szCs w:val="20"/>
        </w:rPr>
        <w:t>Lgs</w:t>
      </w:r>
      <w:proofErr w:type="spellEnd"/>
      <w:r w:rsidRPr="00A9166A">
        <w:rPr>
          <w:rFonts w:ascii="Verdana" w:hAnsi="Verdana" w:cs="Arial"/>
          <w:sz w:val="20"/>
          <w:szCs w:val="20"/>
        </w:rPr>
        <w:t xml:space="preserve"> 50/2016, recepire e valorizzare il ruolo delle Associazioni di categoria affinché per le stesse sia prevista l’audizione da parte delle S.A. e/o la partecipazione alla fase preliminare della stesura degli atti di gara, al fine di offrire non solo un “apporto tecnico” utile alla redazione dei capitolati speciali ma anche una panoramica sulla composizione del mercato. </w:t>
      </w:r>
    </w:p>
    <w:p w:rsidR="003B7D97" w:rsidRPr="00A9166A" w:rsidRDefault="00857004" w:rsidP="006866C4">
      <w:pPr>
        <w:numPr>
          <w:ilvl w:val="0"/>
          <w:numId w:val="2"/>
        </w:numPr>
        <w:spacing w:after="0" w:line="360" w:lineRule="auto"/>
        <w:ind w:right="-1"/>
        <w:jc w:val="both"/>
        <w:rPr>
          <w:rFonts w:ascii="Verdana" w:hAnsi="Verdana" w:cs="Arial"/>
          <w:sz w:val="20"/>
          <w:szCs w:val="20"/>
        </w:rPr>
      </w:pPr>
      <w:r w:rsidRPr="00A9166A">
        <w:rPr>
          <w:rFonts w:ascii="Verdana" w:hAnsi="Verdana" w:cs="Arial"/>
          <w:sz w:val="20"/>
          <w:szCs w:val="20"/>
        </w:rPr>
        <w:t xml:space="preserve">Possibilità di procedura di gara in ambito sanitario attraverso </w:t>
      </w:r>
      <w:r w:rsidR="003B7D97" w:rsidRPr="00A9166A">
        <w:rPr>
          <w:rFonts w:ascii="Verdana" w:hAnsi="Verdana" w:cs="Arial"/>
          <w:sz w:val="20"/>
          <w:szCs w:val="20"/>
        </w:rPr>
        <w:t>Centrali regionali</w:t>
      </w:r>
      <w:r w:rsidRPr="00A9166A">
        <w:rPr>
          <w:rFonts w:ascii="Verdana" w:hAnsi="Verdana" w:cs="Arial"/>
          <w:sz w:val="20"/>
          <w:szCs w:val="20"/>
        </w:rPr>
        <w:t xml:space="preserve">, in luogo di procedure di livello nazionale se non per </w:t>
      </w:r>
      <w:r w:rsidR="003B7D97" w:rsidRPr="00A9166A">
        <w:rPr>
          <w:rFonts w:ascii="Verdana" w:hAnsi="Verdana" w:cs="Arial"/>
          <w:sz w:val="20"/>
          <w:szCs w:val="20"/>
        </w:rPr>
        <w:t>non per prodotti di largo consumo non specialistici.</w:t>
      </w:r>
    </w:p>
    <w:p w:rsidR="003B7D97" w:rsidRPr="00A9166A" w:rsidRDefault="003B7D97" w:rsidP="006866C4">
      <w:pPr>
        <w:spacing w:after="0" w:line="360" w:lineRule="auto"/>
        <w:ind w:left="720" w:right="-1"/>
        <w:jc w:val="both"/>
        <w:rPr>
          <w:rFonts w:ascii="Verdana" w:hAnsi="Verdana" w:cs="Arial"/>
          <w:sz w:val="20"/>
          <w:szCs w:val="20"/>
        </w:rPr>
      </w:pPr>
    </w:p>
    <w:p w:rsidR="003B7D97" w:rsidRPr="00A9166A" w:rsidRDefault="003B7D97" w:rsidP="006866C4">
      <w:pPr>
        <w:spacing w:after="0" w:line="360" w:lineRule="auto"/>
        <w:ind w:right="-1"/>
        <w:jc w:val="both"/>
        <w:rPr>
          <w:rFonts w:ascii="Verdana" w:hAnsi="Verdana" w:cs="Arial"/>
          <w:sz w:val="20"/>
          <w:szCs w:val="20"/>
        </w:rPr>
      </w:pPr>
    </w:p>
    <w:p w:rsidR="00C12D65" w:rsidRPr="00A9166A" w:rsidRDefault="00C12D65" w:rsidP="006866C4">
      <w:pPr>
        <w:spacing w:after="0" w:line="360" w:lineRule="auto"/>
        <w:ind w:right="-1"/>
        <w:jc w:val="both"/>
        <w:rPr>
          <w:rFonts w:ascii="Verdana" w:eastAsia="Times New Roman" w:hAnsi="Verdana" w:cs="Arial"/>
          <w:color w:val="000000"/>
          <w:sz w:val="20"/>
          <w:szCs w:val="20"/>
          <w:shd w:val="clear" w:color="auto" w:fill="FFFFFF"/>
        </w:rPr>
      </w:pPr>
    </w:p>
    <w:p w:rsidR="00B91F95" w:rsidRPr="00A9166A" w:rsidRDefault="00B91F95" w:rsidP="006866C4">
      <w:pPr>
        <w:spacing w:line="360" w:lineRule="auto"/>
        <w:ind w:right="-1"/>
        <w:rPr>
          <w:rFonts w:ascii="Verdana" w:eastAsia="Times New Roman" w:hAnsi="Verdana" w:cs="Arial"/>
          <w:color w:val="000000"/>
          <w:sz w:val="20"/>
          <w:szCs w:val="20"/>
          <w:shd w:val="clear" w:color="auto" w:fill="FFFFFF"/>
        </w:rPr>
      </w:pPr>
    </w:p>
    <w:sectPr w:rsidR="00B91F95" w:rsidRPr="00A9166A" w:rsidSect="006866C4">
      <w:headerReference w:type="default" r:id="rId8"/>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112" w:rsidRDefault="002F2112" w:rsidP="000B767B">
      <w:pPr>
        <w:spacing w:after="0" w:line="240" w:lineRule="auto"/>
      </w:pPr>
      <w:r>
        <w:separator/>
      </w:r>
    </w:p>
  </w:endnote>
  <w:endnote w:type="continuationSeparator" w:id="0">
    <w:p w:rsidR="002F2112" w:rsidRDefault="002F2112" w:rsidP="000B7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UI">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112" w:rsidRDefault="002F2112" w:rsidP="000B767B">
      <w:pPr>
        <w:spacing w:after="0" w:line="240" w:lineRule="auto"/>
      </w:pPr>
      <w:r>
        <w:separator/>
      </w:r>
    </w:p>
  </w:footnote>
  <w:footnote w:type="continuationSeparator" w:id="0">
    <w:p w:rsidR="002F2112" w:rsidRDefault="002F2112" w:rsidP="000B76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6C4" w:rsidRDefault="006866C4">
    <w:pPr>
      <w:pStyle w:val="Intestazione"/>
    </w:pPr>
  </w:p>
  <w:p w:rsidR="006866C4" w:rsidRDefault="006866C4">
    <w:pPr>
      <w:pStyle w:val="Intestazione"/>
    </w:pPr>
  </w:p>
  <w:p w:rsidR="006866C4" w:rsidRDefault="006866C4">
    <w:pPr>
      <w:pStyle w:val="Intestazione"/>
    </w:pPr>
  </w:p>
  <w:p w:rsidR="00875154" w:rsidRDefault="000B5282">
    <w:pPr>
      <w:pStyle w:val="Intestazione"/>
    </w:pPr>
    <w:r>
      <w:rPr>
        <w:rFonts w:ascii="Times New Roman" w:hAnsi="Times New Roman"/>
        <w:noProof/>
        <w:sz w:val="24"/>
        <w:szCs w:val="24"/>
        <w:lang w:eastAsia="it-IT"/>
      </w:rPr>
      <w:drawing>
        <wp:anchor distT="0" distB="0" distL="114300" distR="114300" simplePos="0" relativeHeight="251660288" behindDoc="1" locked="0" layoutInCell="1" allowOverlap="1" wp14:anchorId="2598D7E7" wp14:editId="739F7708">
          <wp:simplePos x="0" y="0"/>
          <wp:positionH relativeFrom="column">
            <wp:posOffset>5078730</wp:posOffset>
          </wp:positionH>
          <wp:positionV relativeFrom="paragraph">
            <wp:posOffset>-236220</wp:posOffset>
          </wp:positionV>
          <wp:extent cx="883920" cy="828675"/>
          <wp:effectExtent l="0" t="0" r="0" b="9525"/>
          <wp:wrapThrough wrapText="bothSides">
            <wp:wrapPolygon edited="0">
              <wp:start x="6983" y="0"/>
              <wp:lineTo x="931" y="15890"/>
              <wp:lineTo x="1397" y="21352"/>
              <wp:lineTo x="15828" y="21352"/>
              <wp:lineTo x="20948" y="17876"/>
              <wp:lineTo x="20948" y="0"/>
              <wp:lineTo x="6983" y="0"/>
            </wp:wrapPolygon>
          </wp:wrapThrough>
          <wp:docPr id="5" name="Immagine 5" descr="ASFO A -LOGO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FO A -LOGO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it-IT"/>
      </w:rPr>
      <w:drawing>
        <wp:anchor distT="0" distB="0" distL="114300" distR="114300" simplePos="0" relativeHeight="251661312" behindDoc="0" locked="0" layoutInCell="1" allowOverlap="1" wp14:anchorId="47A65E00" wp14:editId="5470F5A6">
          <wp:simplePos x="0" y="0"/>
          <wp:positionH relativeFrom="column">
            <wp:posOffset>2023110</wp:posOffset>
          </wp:positionH>
          <wp:positionV relativeFrom="paragraph">
            <wp:posOffset>-297180</wp:posOffset>
          </wp:positionV>
          <wp:extent cx="1991995" cy="883920"/>
          <wp:effectExtent l="0" t="0" r="8255"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199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154">
      <w:rPr>
        <w:rFonts w:ascii="Times New Roman" w:hAnsi="Times New Roman"/>
        <w:noProof/>
        <w:sz w:val="24"/>
        <w:szCs w:val="24"/>
        <w:lang w:eastAsia="it-IT"/>
      </w:rPr>
      <mc:AlternateContent>
        <mc:Choice Requires="wpg">
          <w:drawing>
            <wp:anchor distT="0" distB="0" distL="114300" distR="114300" simplePos="0" relativeHeight="251659264" behindDoc="0" locked="0" layoutInCell="1" allowOverlap="1" wp14:anchorId="0C8CBE5E" wp14:editId="0E6FE68E">
              <wp:simplePos x="0" y="0"/>
              <wp:positionH relativeFrom="column">
                <wp:posOffset>-262890</wp:posOffset>
              </wp:positionH>
              <wp:positionV relativeFrom="paragraph">
                <wp:posOffset>-297180</wp:posOffset>
              </wp:positionV>
              <wp:extent cx="1402080" cy="883920"/>
              <wp:effectExtent l="0" t="0" r="762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883920"/>
                        <a:chOff x="12300" y="1039"/>
                        <a:chExt cx="3945" cy="2270"/>
                      </a:xfrm>
                    </wpg:grpSpPr>
                    <pic:pic xmlns:pic="http://schemas.openxmlformats.org/drawingml/2006/picture">
                      <pic:nvPicPr>
                        <pic:cNvPr id="2" name="Immagine 6"/>
                        <pic:cNvPicPr>
                          <a:picLocks noChangeAspect="1" noChangeArrowheads="1"/>
                        </pic:cNvPicPr>
                      </pic:nvPicPr>
                      <pic:blipFill>
                        <a:blip r:embed="rId3">
                          <a:extLst>
                            <a:ext uri="{28A0092B-C50C-407E-A947-70E740481C1C}">
                              <a14:useLocalDpi xmlns:a14="http://schemas.microsoft.com/office/drawing/2010/main" val="0"/>
                            </a:ext>
                          </a:extLst>
                        </a:blip>
                        <a:srcRect l="23546" t="6163" b="18413"/>
                        <a:stretch>
                          <a:fillRect/>
                        </a:stretch>
                      </pic:blipFill>
                      <pic:spPr bwMode="auto">
                        <a:xfrm>
                          <a:off x="12300" y="2130"/>
                          <a:ext cx="3945" cy="1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Immagine 6"/>
                        <pic:cNvPicPr>
                          <a:picLocks noChangeAspect="1" noChangeArrowheads="1"/>
                        </pic:cNvPicPr>
                      </pic:nvPicPr>
                      <pic:blipFill>
                        <a:blip r:embed="rId3">
                          <a:extLst>
                            <a:ext uri="{28A0092B-C50C-407E-A947-70E740481C1C}">
                              <a14:useLocalDpi xmlns:a14="http://schemas.microsoft.com/office/drawing/2010/main" val="0"/>
                            </a:ext>
                          </a:extLst>
                        </a:blip>
                        <a:srcRect t="6163" r="77994" b="18413"/>
                        <a:stretch>
                          <a:fillRect/>
                        </a:stretch>
                      </pic:blipFill>
                      <pic:spPr bwMode="auto">
                        <a:xfrm>
                          <a:off x="13556" y="1039"/>
                          <a:ext cx="1136" cy="1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magine 6"/>
                        <pic:cNvPicPr>
                          <a:picLocks noChangeAspect="1" noChangeArrowheads="1"/>
                        </pic:cNvPicPr>
                      </pic:nvPicPr>
                      <pic:blipFill>
                        <a:blip r:embed="rId3">
                          <a:extLst>
                            <a:ext uri="{28A0092B-C50C-407E-A947-70E740481C1C}">
                              <a14:useLocalDpi xmlns:a14="http://schemas.microsoft.com/office/drawing/2010/main" val="0"/>
                            </a:ext>
                          </a:extLst>
                        </a:blip>
                        <a:srcRect l="21600" t="22020" r="76591" b="20508"/>
                        <a:stretch>
                          <a:fillRect/>
                        </a:stretch>
                      </pic:blipFill>
                      <pic:spPr bwMode="auto">
                        <a:xfrm rot="5400000">
                          <a:off x="14044" y="964"/>
                          <a:ext cx="107" cy="26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0.7pt;margin-top:-23.4pt;width:110.4pt;height:69.6pt;z-index:251659264" coordorigin="12300,1039" coordsize="3945,2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12300;top:2130;width:3945;height:1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KfufCAAAA2gAAAA8AAABkcnMvZG93bnJldi54bWxEj0FrAjEUhO+F/ofwhF6KZisodTVKKRR6&#10;qVir4PGxeW6im5clSdftvzdCweMwM98wi1XvGtFRiNazgpdRAYK48tpyrWD38zF8BRETssbGMyn4&#10;owir5ePDAkvtL/xN3TbVIkM4lqjApNSWUsbKkMM48i1x9o4+OExZhlrqgJcMd40cF8VUOrScFwy2&#10;9G6oOm9/nQI7mxy6/ckwTqsJe7sJz1/roNTToH+bg0jUp3v4v/2pFYzhdiXfALm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yn7nwgAAANoAAAAPAAAAAAAAAAAAAAAAAJ8C&#10;AABkcnMvZG93bnJldi54bWxQSwUGAAAAAAQABAD3AAAAjgMAAAAA&#10;">
                <v:imagedata r:id="rId4" o:title="" croptop="4039f" cropbottom="12067f" cropleft="15431f"/>
              </v:shape>
              <v:shape id="Immagine 6" o:spid="_x0000_s1028" type="#_x0000_t75" style="position:absolute;left:13556;top:1039;width:1136;height:1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2itDAAAAA2gAAAA8AAABkcnMvZG93bnJldi54bWxEj92KwjAUhO8F3yEcwTtN3ZVFq1FEUPbS&#10;bX2AY3Nsi81JadIf334jCF4OM/MNs90PphIdNa60rGAxj0AQZ1aXnCu4pqfZCoTzyBory6TgSQ72&#10;u/Foi7G2Pf9Rl/hcBAi7GBUU3texlC4ryKCb25o4eHfbGPRBNrnUDfYBbir5FUU/0mDJYaHAmo4F&#10;ZY+kNQrOfX1x2Cb5qV0fL925TJe3LlVqOhkOGxCeBv8Jv9u/WsE3vK6EGyB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DaK0MAAAADaAAAADwAAAAAAAAAAAAAAAACfAgAA&#10;ZHJzL2Rvd25yZXYueG1sUEsFBgAAAAAEAAQA9wAAAIwDAAAAAA==&#10;">
                <v:imagedata r:id="rId4" o:title="" croptop="4039f" cropbottom="12067f" cropright="51114f"/>
              </v:shape>
              <v:shape id="Immagine 6" o:spid="_x0000_s1029" type="#_x0000_t75" style="position:absolute;left:14044;top:964;width:107;height:26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H40bEAAAA2gAAAA8AAABkcnMvZG93bnJldi54bWxEj0FrwkAUhO8F/8PyhN6ajaWEEl1FBam9&#10;lCbtweMj+0xWs29DdjXJv+8WCj0OM/MNs9qMthV36r1xrGCRpCCIK6cN1wq+vw5PryB8QNbYOiYF&#10;E3nYrGcPK8y1G7igexlqESHsc1TQhNDlUvqqIYs+cR1x9M6utxii7Gupexwi3LbyOU0zadFwXGiw&#10;o31D1bW8WQXXS/pe7E7T9PE5ZW/73cVwyIxSj/NxuwQRaAz/4b/2USt4gd8r8Qb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H40bEAAAA2gAAAA8AAAAAAAAAAAAAAAAA&#10;nwIAAGRycy9kb3ducmV2LnhtbFBLBQYAAAAABAAEAPcAAACQAwAAAAA=&#10;">
                <v:imagedata r:id="rId4" o:title="" croptop="14431f" cropbottom="13440f" cropleft="14156f" cropright="50195f"/>
              </v:shape>
            </v:group>
          </w:pict>
        </mc:Fallback>
      </mc:AlternateContent>
    </w:r>
    <w:r w:rsidR="000B767B">
      <w:t xml:space="preserve">                                                                                                                                                                                                         </w:t>
    </w:r>
  </w:p>
  <w:p w:rsidR="00875154" w:rsidRDefault="000B5282">
    <w:pPr>
      <w:pStyle w:val="Intestazione"/>
    </w:pPr>
    <w:r>
      <w:t xml:space="preserve">                                                             </w:t>
    </w:r>
  </w:p>
  <w:p w:rsidR="00875154" w:rsidRDefault="00875154">
    <w:pPr>
      <w:pStyle w:val="Intestazione"/>
    </w:pPr>
  </w:p>
  <w:p w:rsidR="000B767B" w:rsidRDefault="000B767B">
    <w:pPr>
      <w:pStyle w:val="Intestazione"/>
    </w:pPr>
    <w:r>
      <w:t xml:space="preserve"> </w:t>
    </w:r>
  </w:p>
  <w:p w:rsidR="006866C4" w:rsidRDefault="006866C4">
    <w:pPr>
      <w:pStyle w:val="Intestazione"/>
    </w:pPr>
  </w:p>
  <w:p w:rsidR="006866C4" w:rsidRDefault="006866C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B0454"/>
    <w:multiLevelType w:val="hybridMultilevel"/>
    <w:tmpl w:val="1986B08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54B30D43"/>
    <w:multiLevelType w:val="hybridMultilevel"/>
    <w:tmpl w:val="25FA6D8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
    <w:nsid w:val="5924781D"/>
    <w:multiLevelType w:val="hybridMultilevel"/>
    <w:tmpl w:val="A454A774"/>
    <w:lvl w:ilvl="0" w:tplc="A3FEB006">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60B267AE"/>
    <w:multiLevelType w:val="hybridMultilevel"/>
    <w:tmpl w:val="B8CE67E4"/>
    <w:lvl w:ilvl="0" w:tplc="987C4B72">
      <w:start w:val="1"/>
      <w:numFmt w:val="bullet"/>
      <w:lvlText w:val=""/>
      <w:lvlJc w:val="left"/>
      <w:pPr>
        <w:tabs>
          <w:tab w:val="num" w:pos="720"/>
        </w:tabs>
        <w:ind w:left="720" w:hanging="360"/>
      </w:pPr>
      <w:rPr>
        <w:rFonts w:ascii="Wingdings" w:hAnsi="Wingdings" w:hint="default"/>
      </w:rPr>
    </w:lvl>
    <w:lvl w:ilvl="1" w:tplc="118EB100">
      <w:numFmt w:val="bullet"/>
      <w:lvlText w:val="-"/>
      <w:lvlJc w:val="left"/>
      <w:pPr>
        <w:ind w:left="1440" w:hanging="360"/>
      </w:pPr>
      <w:rPr>
        <w:rFonts w:ascii="Calibri" w:eastAsia="Arial Unicode MS" w:hAnsi="Calibri" w:cs="Arial Unicode MS" w:hint="default"/>
      </w:rPr>
    </w:lvl>
    <w:lvl w:ilvl="2" w:tplc="1D188B96" w:tentative="1">
      <w:start w:val="1"/>
      <w:numFmt w:val="bullet"/>
      <w:lvlText w:val=""/>
      <w:lvlJc w:val="left"/>
      <w:pPr>
        <w:tabs>
          <w:tab w:val="num" w:pos="2160"/>
        </w:tabs>
        <w:ind w:left="2160" w:hanging="360"/>
      </w:pPr>
      <w:rPr>
        <w:rFonts w:ascii="Wingdings" w:hAnsi="Wingdings" w:hint="default"/>
      </w:rPr>
    </w:lvl>
    <w:lvl w:ilvl="3" w:tplc="5EE61526" w:tentative="1">
      <w:start w:val="1"/>
      <w:numFmt w:val="bullet"/>
      <w:lvlText w:val=""/>
      <w:lvlJc w:val="left"/>
      <w:pPr>
        <w:tabs>
          <w:tab w:val="num" w:pos="2880"/>
        </w:tabs>
        <w:ind w:left="2880" w:hanging="360"/>
      </w:pPr>
      <w:rPr>
        <w:rFonts w:ascii="Wingdings" w:hAnsi="Wingdings" w:hint="default"/>
      </w:rPr>
    </w:lvl>
    <w:lvl w:ilvl="4" w:tplc="B7EC5E58" w:tentative="1">
      <w:start w:val="1"/>
      <w:numFmt w:val="bullet"/>
      <w:lvlText w:val=""/>
      <w:lvlJc w:val="left"/>
      <w:pPr>
        <w:tabs>
          <w:tab w:val="num" w:pos="3600"/>
        </w:tabs>
        <w:ind w:left="3600" w:hanging="360"/>
      </w:pPr>
      <w:rPr>
        <w:rFonts w:ascii="Wingdings" w:hAnsi="Wingdings" w:hint="default"/>
      </w:rPr>
    </w:lvl>
    <w:lvl w:ilvl="5" w:tplc="D1D67536" w:tentative="1">
      <w:start w:val="1"/>
      <w:numFmt w:val="bullet"/>
      <w:lvlText w:val=""/>
      <w:lvlJc w:val="left"/>
      <w:pPr>
        <w:tabs>
          <w:tab w:val="num" w:pos="4320"/>
        </w:tabs>
        <w:ind w:left="4320" w:hanging="360"/>
      </w:pPr>
      <w:rPr>
        <w:rFonts w:ascii="Wingdings" w:hAnsi="Wingdings" w:hint="default"/>
      </w:rPr>
    </w:lvl>
    <w:lvl w:ilvl="6" w:tplc="13E47486" w:tentative="1">
      <w:start w:val="1"/>
      <w:numFmt w:val="bullet"/>
      <w:lvlText w:val=""/>
      <w:lvlJc w:val="left"/>
      <w:pPr>
        <w:tabs>
          <w:tab w:val="num" w:pos="5040"/>
        </w:tabs>
        <w:ind w:left="5040" w:hanging="360"/>
      </w:pPr>
      <w:rPr>
        <w:rFonts w:ascii="Wingdings" w:hAnsi="Wingdings" w:hint="default"/>
      </w:rPr>
    </w:lvl>
    <w:lvl w:ilvl="7" w:tplc="D05E3742" w:tentative="1">
      <w:start w:val="1"/>
      <w:numFmt w:val="bullet"/>
      <w:lvlText w:val=""/>
      <w:lvlJc w:val="left"/>
      <w:pPr>
        <w:tabs>
          <w:tab w:val="num" w:pos="5760"/>
        </w:tabs>
        <w:ind w:left="5760" w:hanging="360"/>
      </w:pPr>
      <w:rPr>
        <w:rFonts w:ascii="Wingdings" w:hAnsi="Wingdings" w:hint="default"/>
      </w:rPr>
    </w:lvl>
    <w:lvl w:ilvl="8" w:tplc="3DF8DB8C" w:tentative="1">
      <w:start w:val="1"/>
      <w:numFmt w:val="bullet"/>
      <w:lvlText w:val=""/>
      <w:lvlJc w:val="left"/>
      <w:pPr>
        <w:tabs>
          <w:tab w:val="num" w:pos="6480"/>
        </w:tabs>
        <w:ind w:left="6480" w:hanging="360"/>
      </w:pPr>
      <w:rPr>
        <w:rFonts w:ascii="Wingdings" w:hAnsi="Wingdings" w:hint="default"/>
      </w:rPr>
    </w:lvl>
  </w:abstractNum>
  <w:abstractNum w:abstractNumId="4">
    <w:nsid w:val="6E9E70D7"/>
    <w:multiLevelType w:val="hybridMultilevel"/>
    <w:tmpl w:val="57F60984"/>
    <w:lvl w:ilvl="0" w:tplc="0410000F">
      <w:start w:val="1"/>
      <w:numFmt w:val="decimal"/>
      <w:lvlText w:val="%1."/>
      <w:lvlJc w:val="left"/>
      <w:pPr>
        <w:ind w:left="1407" w:hanging="360"/>
      </w:pPr>
    </w:lvl>
    <w:lvl w:ilvl="1" w:tplc="04100019" w:tentative="1">
      <w:start w:val="1"/>
      <w:numFmt w:val="lowerLetter"/>
      <w:lvlText w:val="%2."/>
      <w:lvlJc w:val="left"/>
      <w:pPr>
        <w:ind w:left="2127" w:hanging="360"/>
      </w:pPr>
    </w:lvl>
    <w:lvl w:ilvl="2" w:tplc="0410001B" w:tentative="1">
      <w:start w:val="1"/>
      <w:numFmt w:val="lowerRoman"/>
      <w:lvlText w:val="%3."/>
      <w:lvlJc w:val="right"/>
      <w:pPr>
        <w:ind w:left="2847" w:hanging="180"/>
      </w:pPr>
    </w:lvl>
    <w:lvl w:ilvl="3" w:tplc="0410000F" w:tentative="1">
      <w:start w:val="1"/>
      <w:numFmt w:val="decimal"/>
      <w:lvlText w:val="%4."/>
      <w:lvlJc w:val="left"/>
      <w:pPr>
        <w:ind w:left="3567" w:hanging="360"/>
      </w:pPr>
    </w:lvl>
    <w:lvl w:ilvl="4" w:tplc="04100019" w:tentative="1">
      <w:start w:val="1"/>
      <w:numFmt w:val="lowerLetter"/>
      <w:lvlText w:val="%5."/>
      <w:lvlJc w:val="left"/>
      <w:pPr>
        <w:ind w:left="4287" w:hanging="360"/>
      </w:pPr>
    </w:lvl>
    <w:lvl w:ilvl="5" w:tplc="0410001B" w:tentative="1">
      <w:start w:val="1"/>
      <w:numFmt w:val="lowerRoman"/>
      <w:lvlText w:val="%6."/>
      <w:lvlJc w:val="right"/>
      <w:pPr>
        <w:ind w:left="5007" w:hanging="180"/>
      </w:pPr>
    </w:lvl>
    <w:lvl w:ilvl="6" w:tplc="0410000F" w:tentative="1">
      <w:start w:val="1"/>
      <w:numFmt w:val="decimal"/>
      <w:lvlText w:val="%7."/>
      <w:lvlJc w:val="left"/>
      <w:pPr>
        <w:ind w:left="5727" w:hanging="360"/>
      </w:pPr>
    </w:lvl>
    <w:lvl w:ilvl="7" w:tplc="04100019" w:tentative="1">
      <w:start w:val="1"/>
      <w:numFmt w:val="lowerLetter"/>
      <w:lvlText w:val="%8."/>
      <w:lvlJc w:val="left"/>
      <w:pPr>
        <w:ind w:left="6447" w:hanging="360"/>
      </w:pPr>
    </w:lvl>
    <w:lvl w:ilvl="8" w:tplc="0410001B" w:tentative="1">
      <w:start w:val="1"/>
      <w:numFmt w:val="lowerRoman"/>
      <w:lvlText w:val="%9."/>
      <w:lvlJc w:val="right"/>
      <w:pPr>
        <w:ind w:left="7167" w:hanging="180"/>
      </w:pPr>
    </w:lvl>
  </w:abstractNum>
  <w:abstractNum w:abstractNumId="5">
    <w:nsid w:val="6F915FF4"/>
    <w:multiLevelType w:val="hybridMultilevel"/>
    <w:tmpl w:val="CC44C8EA"/>
    <w:lvl w:ilvl="0" w:tplc="04100011">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nsid w:val="70F00208"/>
    <w:multiLevelType w:val="hybridMultilevel"/>
    <w:tmpl w:val="3BC69F72"/>
    <w:lvl w:ilvl="0" w:tplc="DFE4B2D8">
      <w:start w:val="3"/>
      <w:numFmt w:val="bullet"/>
      <w:lvlText w:val="-"/>
      <w:lvlJc w:val="left"/>
      <w:pPr>
        <w:ind w:left="720" w:hanging="360"/>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4842A50"/>
    <w:multiLevelType w:val="hybridMultilevel"/>
    <w:tmpl w:val="0D0AB9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
  </w:num>
  <w:num w:numId="4">
    <w:abstractNumId w:val="7"/>
  </w:num>
  <w:num w:numId="5">
    <w:abstractNumId w:val="6"/>
  </w:num>
  <w:num w:numId="6">
    <w:abstractNumId w:val="1"/>
  </w:num>
  <w:num w:numId="7">
    <w:abstractNumId w:val="2"/>
  </w:num>
  <w:num w:numId="8">
    <w:abstractNumId w:val="5"/>
    <w:lvlOverride w:ilvl="0">
      <w:startOverride w:val="1"/>
    </w:lvlOverride>
    <w:lvlOverride w:ilvl="1"/>
    <w:lvlOverride w:ilvl="2"/>
    <w:lvlOverride w:ilvl="3"/>
    <w:lvlOverride w:ilvl="4"/>
    <w:lvlOverride w:ilvl="5"/>
    <w:lvlOverride w:ilvl="6"/>
    <w:lvlOverride w:ilvl="7"/>
    <w:lvlOverride w:ilvl="8"/>
  </w:num>
  <w:num w:numId="9">
    <w:abstractNumId w:val="5"/>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C4B"/>
    <w:rsid w:val="000B120D"/>
    <w:rsid w:val="000B5282"/>
    <w:rsid w:val="000B767B"/>
    <w:rsid w:val="000B7F22"/>
    <w:rsid w:val="001B6541"/>
    <w:rsid w:val="001C748D"/>
    <w:rsid w:val="001E6B73"/>
    <w:rsid w:val="00296096"/>
    <w:rsid w:val="002F2112"/>
    <w:rsid w:val="00336FBC"/>
    <w:rsid w:val="00355EBF"/>
    <w:rsid w:val="00381871"/>
    <w:rsid w:val="00386585"/>
    <w:rsid w:val="003B7D97"/>
    <w:rsid w:val="00437A13"/>
    <w:rsid w:val="0047667C"/>
    <w:rsid w:val="00522477"/>
    <w:rsid w:val="00551881"/>
    <w:rsid w:val="005D60BA"/>
    <w:rsid w:val="005E1DAD"/>
    <w:rsid w:val="00613A29"/>
    <w:rsid w:val="006866C4"/>
    <w:rsid w:val="006A5C6C"/>
    <w:rsid w:val="007013DC"/>
    <w:rsid w:val="00721D43"/>
    <w:rsid w:val="007B1499"/>
    <w:rsid w:val="008366EE"/>
    <w:rsid w:val="00857004"/>
    <w:rsid w:val="00875154"/>
    <w:rsid w:val="00887DBE"/>
    <w:rsid w:val="008D4E0E"/>
    <w:rsid w:val="00983ED2"/>
    <w:rsid w:val="009851D9"/>
    <w:rsid w:val="009B6315"/>
    <w:rsid w:val="009D29C1"/>
    <w:rsid w:val="00A806E9"/>
    <w:rsid w:val="00A9166A"/>
    <w:rsid w:val="00AA126E"/>
    <w:rsid w:val="00AE5C3F"/>
    <w:rsid w:val="00B2421A"/>
    <w:rsid w:val="00B74CED"/>
    <w:rsid w:val="00B91F95"/>
    <w:rsid w:val="00C12D65"/>
    <w:rsid w:val="00D15C4B"/>
    <w:rsid w:val="00D21E78"/>
    <w:rsid w:val="00D80263"/>
    <w:rsid w:val="00DC12EC"/>
    <w:rsid w:val="00E15FBF"/>
    <w:rsid w:val="00E5458D"/>
    <w:rsid w:val="00E627F6"/>
    <w:rsid w:val="00E73FE6"/>
    <w:rsid w:val="00EE708E"/>
    <w:rsid w:val="00F31EDA"/>
    <w:rsid w:val="00FC77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22477"/>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91F95"/>
    <w:pPr>
      <w:ind w:left="720"/>
      <w:contextualSpacing/>
    </w:pPr>
  </w:style>
  <w:style w:type="paragraph" w:styleId="Intestazione">
    <w:name w:val="header"/>
    <w:basedOn w:val="Normale"/>
    <w:link w:val="IntestazioneCarattere"/>
    <w:uiPriority w:val="99"/>
    <w:unhideWhenUsed/>
    <w:rsid w:val="000B767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B767B"/>
    <w:rPr>
      <w:rFonts w:ascii="Calibri" w:eastAsia="Calibri" w:hAnsi="Calibri" w:cs="Times New Roman"/>
    </w:rPr>
  </w:style>
  <w:style w:type="paragraph" w:styleId="Pidipagina">
    <w:name w:val="footer"/>
    <w:basedOn w:val="Normale"/>
    <w:link w:val="PidipaginaCarattere"/>
    <w:uiPriority w:val="99"/>
    <w:unhideWhenUsed/>
    <w:rsid w:val="000B767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B767B"/>
    <w:rPr>
      <w:rFonts w:ascii="Calibri" w:eastAsia="Calibri" w:hAnsi="Calibri" w:cs="Times New Roman"/>
    </w:rPr>
  </w:style>
  <w:style w:type="table" w:styleId="Grigliatabella">
    <w:name w:val="Table Grid"/>
    <w:basedOn w:val="Tabellanormale"/>
    <w:uiPriority w:val="59"/>
    <w:rsid w:val="00686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85700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5700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22477"/>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91F95"/>
    <w:pPr>
      <w:ind w:left="720"/>
      <w:contextualSpacing/>
    </w:pPr>
  </w:style>
  <w:style w:type="paragraph" w:styleId="Intestazione">
    <w:name w:val="header"/>
    <w:basedOn w:val="Normale"/>
    <w:link w:val="IntestazioneCarattere"/>
    <w:uiPriority w:val="99"/>
    <w:unhideWhenUsed/>
    <w:rsid w:val="000B767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B767B"/>
    <w:rPr>
      <w:rFonts w:ascii="Calibri" w:eastAsia="Calibri" w:hAnsi="Calibri" w:cs="Times New Roman"/>
    </w:rPr>
  </w:style>
  <w:style w:type="paragraph" w:styleId="Pidipagina">
    <w:name w:val="footer"/>
    <w:basedOn w:val="Normale"/>
    <w:link w:val="PidipaginaCarattere"/>
    <w:uiPriority w:val="99"/>
    <w:unhideWhenUsed/>
    <w:rsid w:val="000B767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B767B"/>
    <w:rPr>
      <w:rFonts w:ascii="Calibri" w:eastAsia="Calibri" w:hAnsi="Calibri" w:cs="Times New Roman"/>
    </w:rPr>
  </w:style>
  <w:style w:type="table" w:styleId="Grigliatabella">
    <w:name w:val="Table Grid"/>
    <w:basedOn w:val="Tabellanormale"/>
    <w:uiPriority w:val="59"/>
    <w:rsid w:val="00686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85700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5700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78871">
      <w:bodyDiv w:val="1"/>
      <w:marLeft w:val="0"/>
      <w:marRight w:val="0"/>
      <w:marTop w:val="0"/>
      <w:marBottom w:val="0"/>
      <w:divBdr>
        <w:top w:val="none" w:sz="0" w:space="0" w:color="auto"/>
        <w:left w:val="none" w:sz="0" w:space="0" w:color="auto"/>
        <w:bottom w:val="none" w:sz="0" w:space="0" w:color="auto"/>
        <w:right w:val="none" w:sz="0" w:space="0" w:color="auto"/>
      </w:divBdr>
    </w:div>
    <w:div w:id="752164205">
      <w:bodyDiv w:val="1"/>
      <w:marLeft w:val="0"/>
      <w:marRight w:val="0"/>
      <w:marTop w:val="0"/>
      <w:marBottom w:val="0"/>
      <w:divBdr>
        <w:top w:val="none" w:sz="0" w:space="0" w:color="auto"/>
        <w:left w:val="none" w:sz="0" w:space="0" w:color="auto"/>
        <w:bottom w:val="none" w:sz="0" w:space="0" w:color="auto"/>
        <w:right w:val="none" w:sz="0" w:space="0" w:color="auto"/>
      </w:divBdr>
    </w:div>
    <w:div w:id="130438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1200</Words>
  <Characters>6846</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CONFCOMMERCIO</Company>
  <LinksUpToDate>false</LinksUpToDate>
  <CharactersWithSpaces>8030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Cutolo</dc:creator>
  <cp:lastModifiedBy>moretti</cp:lastModifiedBy>
  <cp:revision>2</cp:revision>
  <cp:lastPrinted>2017-04-19T13:04:00Z</cp:lastPrinted>
  <dcterms:created xsi:type="dcterms:W3CDTF">2017-04-20T14:05:00Z</dcterms:created>
  <dcterms:modified xsi:type="dcterms:W3CDTF">2017-04-20T14:05:00Z</dcterms:modified>
</cp:coreProperties>
</file>