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4A7" w:rsidRDefault="00B324A7" w:rsidP="00246F4C">
      <w:pPr>
        <w:spacing w:after="0" w:line="240" w:lineRule="auto"/>
        <w:jc w:val="center"/>
        <w:rPr>
          <w:rFonts w:ascii="Verdana" w:hAnsi="Verdana" w:cs="Tahoma"/>
          <w:b/>
          <w:bCs/>
        </w:rPr>
      </w:pPr>
      <w:r>
        <w:rPr>
          <w:rFonts w:ascii="Verdana" w:hAnsi="Verdana" w:cs="Tahoma"/>
          <w:b/>
          <w:bCs/>
          <w:noProof/>
          <w:lang w:eastAsia="it-IT"/>
        </w:rPr>
        <w:drawing>
          <wp:inline distT="0" distB="0" distL="0" distR="0">
            <wp:extent cx="6120130" cy="400367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ta-even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4003675"/>
                    </a:xfrm>
                    <a:prstGeom prst="rect">
                      <a:avLst/>
                    </a:prstGeom>
                  </pic:spPr>
                </pic:pic>
              </a:graphicData>
            </a:graphic>
          </wp:inline>
        </w:drawing>
      </w:r>
    </w:p>
    <w:p w:rsidR="00B324A7" w:rsidRDefault="00B324A7" w:rsidP="00246F4C">
      <w:pPr>
        <w:spacing w:after="0" w:line="240" w:lineRule="auto"/>
        <w:jc w:val="center"/>
        <w:rPr>
          <w:rFonts w:ascii="Verdana" w:hAnsi="Verdana" w:cs="Tahoma"/>
          <w:b/>
          <w:bCs/>
        </w:rPr>
      </w:pPr>
    </w:p>
    <w:p w:rsidR="00B324A7" w:rsidRDefault="00B324A7" w:rsidP="00246F4C">
      <w:pPr>
        <w:spacing w:after="0" w:line="240" w:lineRule="auto"/>
        <w:jc w:val="center"/>
        <w:rPr>
          <w:rFonts w:ascii="Verdana" w:hAnsi="Verdana" w:cs="Tahoma"/>
          <w:b/>
          <w:bCs/>
        </w:rPr>
      </w:pPr>
    </w:p>
    <w:p w:rsidR="00B324A7" w:rsidRDefault="00B324A7" w:rsidP="00246F4C">
      <w:pPr>
        <w:spacing w:after="0" w:line="240" w:lineRule="auto"/>
        <w:jc w:val="center"/>
        <w:rPr>
          <w:rFonts w:ascii="Verdana" w:hAnsi="Verdana" w:cs="Tahoma"/>
          <w:b/>
          <w:bCs/>
        </w:rPr>
      </w:pPr>
    </w:p>
    <w:p w:rsidR="00B324A7" w:rsidRDefault="00B324A7" w:rsidP="00246F4C">
      <w:pPr>
        <w:spacing w:after="0" w:line="240" w:lineRule="auto"/>
        <w:jc w:val="center"/>
        <w:rPr>
          <w:rFonts w:ascii="Verdana" w:hAnsi="Verdana" w:cs="Tahoma"/>
          <w:b/>
          <w:bCs/>
        </w:rPr>
      </w:pPr>
    </w:p>
    <w:p w:rsidR="00246F4C" w:rsidRPr="00B324A7" w:rsidRDefault="00246F4C" w:rsidP="00246F4C">
      <w:pPr>
        <w:spacing w:after="0" w:line="240" w:lineRule="auto"/>
        <w:jc w:val="center"/>
        <w:rPr>
          <w:rFonts w:ascii="Verdana" w:hAnsi="Verdana" w:cs="Tahoma"/>
          <w:b/>
          <w:bCs/>
        </w:rPr>
      </w:pPr>
      <w:r w:rsidRPr="00B324A7">
        <w:rPr>
          <w:rFonts w:ascii="Verdana" w:hAnsi="Verdana" w:cs="Tahoma"/>
          <w:b/>
          <w:bCs/>
        </w:rPr>
        <w:t>Sintesi del Rapporto sul Terziario di mercato</w:t>
      </w:r>
    </w:p>
    <w:p w:rsidR="00246F4C" w:rsidRPr="00B324A7" w:rsidRDefault="00246F4C" w:rsidP="00246F4C">
      <w:pPr>
        <w:spacing w:after="0" w:line="240" w:lineRule="auto"/>
        <w:jc w:val="center"/>
        <w:rPr>
          <w:rFonts w:ascii="Verdana" w:hAnsi="Verdana" w:cs="Tahoma"/>
          <w:b/>
          <w:bCs/>
        </w:rPr>
      </w:pPr>
      <w:r w:rsidRPr="00B324A7">
        <w:rPr>
          <w:rFonts w:ascii="Verdana" w:hAnsi="Verdana" w:cs="Tahoma"/>
          <w:b/>
          <w:bCs/>
        </w:rPr>
        <w:t>Ufficio Studi Confcommercio – 4 novembre 2014</w:t>
      </w:r>
    </w:p>
    <w:p w:rsidR="00246F4C" w:rsidRPr="00B324A7" w:rsidRDefault="00246F4C" w:rsidP="00246F4C">
      <w:pPr>
        <w:spacing w:after="0" w:line="240" w:lineRule="auto"/>
        <w:jc w:val="both"/>
        <w:rPr>
          <w:rFonts w:ascii="Verdana" w:hAnsi="Verdana" w:cs="Tahoma"/>
          <w:b/>
          <w:bCs/>
        </w:rPr>
      </w:pPr>
    </w:p>
    <w:p w:rsidR="00246F4C" w:rsidRPr="00B324A7" w:rsidRDefault="00246F4C" w:rsidP="00246F4C">
      <w:pPr>
        <w:spacing w:after="0" w:line="240" w:lineRule="auto"/>
        <w:jc w:val="both"/>
        <w:rPr>
          <w:rFonts w:ascii="Verdana" w:hAnsi="Verdana" w:cs="Tahoma"/>
          <w:b/>
          <w:bCs/>
        </w:rPr>
      </w:pPr>
    </w:p>
    <w:p w:rsidR="00BF7061" w:rsidRPr="00B324A7" w:rsidRDefault="00BF7061" w:rsidP="00246F4C">
      <w:pPr>
        <w:spacing w:after="0" w:line="240" w:lineRule="auto"/>
        <w:jc w:val="both"/>
        <w:rPr>
          <w:rFonts w:ascii="Verdana" w:hAnsi="Verdana" w:cs="Tahoma"/>
          <w:b/>
          <w:bCs/>
        </w:rPr>
      </w:pPr>
      <w:r w:rsidRPr="00B324A7">
        <w:rPr>
          <w:rFonts w:ascii="Verdana" w:hAnsi="Verdana" w:cs="Tahoma"/>
          <w:b/>
          <w:bCs/>
        </w:rPr>
        <w:t>Terziarizzazione dell’economia</w:t>
      </w:r>
    </w:p>
    <w:p w:rsidR="00246F4C" w:rsidRPr="00B324A7" w:rsidRDefault="00246F4C" w:rsidP="00B51DA4">
      <w:pPr>
        <w:spacing w:after="0" w:line="240" w:lineRule="auto"/>
        <w:jc w:val="both"/>
        <w:rPr>
          <w:rFonts w:ascii="Verdana" w:hAnsi="Verdana" w:cs="Tahoma"/>
          <w:bCs/>
        </w:rPr>
      </w:pPr>
    </w:p>
    <w:p w:rsidR="0090208C" w:rsidRPr="00B324A7" w:rsidRDefault="00B2717D" w:rsidP="00B51DA4">
      <w:pPr>
        <w:spacing w:after="0" w:line="240" w:lineRule="auto"/>
        <w:jc w:val="both"/>
        <w:rPr>
          <w:rFonts w:ascii="Verdana" w:hAnsi="Verdana" w:cs="Tahoma"/>
          <w:bCs/>
        </w:rPr>
      </w:pPr>
      <w:r w:rsidRPr="00B324A7">
        <w:rPr>
          <w:rFonts w:ascii="Verdana" w:hAnsi="Verdana" w:cs="Tahoma"/>
          <w:bCs/>
        </w:rPr>
        <w:t>La nostra economia è sempre più terziarizzata, con le imprese dei servizi di mercato, quelle che Confcommercio rappresenta, che hanno un ruolo predominante e crescente nel tempo per il loro contributo al Pil e all’occupazione del Paese: nel 1995 i servizi di mercato realizzavano il 39,3% del valore aggiunto, oggi il 40,3%; nello stesso periodo l’industria è passata dal 29,1% al 23,3%</w:t>
      </w:r>
      <w:r w:rsidR="00246F4C" w:rsidRPr="00B324A7">
        <w:rPr>
          <w:rFonts w:ascii="Verdana" w:hAnsi="Verdana" w:cs="Tahoma"/>
          <w:bCs/>
        </w:rPr>
        <w:t xml:space="preserve"> (</w:t>
      </w:r>
      <w:proofErr w:type="spellStart"/>
      <w:r w:rsidR="00246F4C" w:rsidRPr="00B324A7">
        <w:rPr>
          <w:rFonts w:ascii="Verdana" w:hAnsi="Verdana" w:cs="Tahoma"/>
          <w:bCs/>
        </w:rPr>
        <w:t>Tab</w:t>
      </w:r>
      <w:proofErr w:type="spellEnd"/>
      <w:r w:rsidR="00246F4C" w:rsidRPr="00B324A7">
        <w:rPr>
          <w:rFonts w:ascii="Verdana" w:hAnsi="Verdana" w:cs="Tahoma"/>
          <w:bCs/>
        </w:rPr>
        <w:t>. A)</w:t>
      </w:r>
      <w:r w:rsidRPr="00B324A7">
        <w:rPr>
          <w:rFonts w:ascii="Verdana" w:hAnsi="Verdana" w:cs="Tahoma"/>
          <w:bCs/>
        </w:rPr>
        <w:t>. Analoghe dinamiche si registrano per l’occupazione con un contributo dei servizi di mercato passato dal 35,6% al 42,4% a fronte del ridimensionamento della manifattura passata dal 27,1% al 22,9%. E dal confronto tra i due comparti emerge anche una maggiore tenuta occupazionale dei servizi di mercato, rispetto all’industria, sia fuori che dentro la crisi.</w:t>
      </w:r>
    </w:p>
    <w:p w:rsidR="00B2717D" w:rsidRDefault="00B2717D" w:rsidP="00B324A7">
      <w:pPr>
        <w:spacing w:after="0" w:line="240" w:lineRule="auto"/>
        <w:jc w:val="center"/>
      </w:pPr>
      <w:bookmarkStart w:id="0" w:name="_GoBack"/>
      <w:bookmarkEnd w:id="0"/>
      <w:r>
        <w:rPr>
          <w:noProof/>
          <w:lang w:eastAsia="it-IT"/>
        </w:rPr>
        <w:drawing>
          <wp:inline distT="0" distB="0" distL="0" distR="0" wp14:anchorId="575CBC96" wp14:editId="1BBBBC6F">
            <wp:extent cx="5495925" cy="371961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97223" cy="3720494"/>
                    </a:xfrm>
                    <a:prstGeom prst="rect">
                      <a:avLst/>
                    </a:prstGeom>
                  </pic:spPr>
                </pic:pic>
              </a:graphicData>
            </a:graphic>
          </wp:inline>
        </w:drawing>
      </w:r>
    </w:p>
    <w:p w:rsidR="00246F4C" w:rsidRDefault="00246F4C" w:rsidP="00246F4C">
      <w:pPr>
        <w:pStyle w:val="Paragrafoelenco"/>
        <w:spacing w:after="0" w:line="240" w:lineRule="auto"/>
        <w:jc w:val="both"/>
        <w:rPr>
          <w:rFonts w:ascii="Verdana" w:hAnsi="Verdana" w:cs="Tahoma"/>
          <w:bCs/>
        </w:rPr>
      </w:pPr>
    </w:p>
    <w:p w:rsidR="00246F4C" w:rsidRDefault="00246F4C" w:rsidP="00246F4C">
      <w:pPr>
        <w:pStyle w:val="Paragrafoelenco"/>
        <w:spacing w:after="0" w:line="240" w:lineRule="auto"/>
        <w:jc w:val="both"/>
        <w:rPr>
          <w:rFonts w:ascii="Verdana" w:hAnsi="Verdana" w:cs="Tahoma"/>
          <w:bCs/>
        </w:rPr>
      </w:pPr>
    </w:p>
    <w:p w:rsidR="00BF7061" w:rsidRPr="00B324A7" w:rsidRDefault="00BF7061" w:rsidP="00246F4C">
      <w:pPr>
        <w:pStyle w:val="Paragrafoelenco"/>
        <w:spacing w:after="0" w:line="240" w:lineRule="auto"/>
        <w:ind w:left="0"/>
        <w:jc w:val="both"/>
        <w:rPr>
          <w:rFonts w:ascii="Verdana" w:hAnsi="Verdana" w:cs="Tahoma"/>
          <w:b/>
          <w:bCs/>
        </w:rPr>
      </w:pPr>
      <w:r w:rsidRPr="00B324A7">
        <w:rPr>
          <w:rFonts w:ascii="Verdana" w:hAnsi="Verdana" w:cs="Tahoma"/>
          <w:b/>
          <w:bCs/>
        </w:rPr>
        <w:t>Problema della riduzione di produttività del lavoro</w:t>
      </w:r>
    </w:p>
    <w:p w:rsidR="00246F4C" w:rsidRPr="00B324A7" w:rsidRDefault="00246F4C" w:rsidP="00B51DA4">
      <w:pPr>
        <w:spacing w:after="0" w:line="240" w:lineRule="auto"/>
        <w:jc w:val="both"/>
        <w:rPr>
          <w:rFonts w:ascii="Verdana" w:hAnsi="Verdana" w:cs="Tahoma"/>
          <w:bCs/>
        </w:rPr>
      </w:pPr>
    </w:p>
    <w:p w:rsidR="00B2717D" w:rsidRPr="00B324A7" w:rsidRDefault="00B51DA4" w:rsidP="00B51DA4">
      <w:pPr>
        <w:spacing w:after="0" w:line="240" w:lineRule="auto"/>
        <w:jc w:val="both"/>
        <w:rPr>
          <w:rFonts w:ascii="Verdana" w:hAnsi="Verdana" w:cs="Tahoma"/>
          <w:bCs/>
        </w:rPr>
      </w:pPr>
      <w:r w:rsidRPr="00B324A7">
        <w:rPr>
          <w:rFonts w:ascii="Verdana" w:hAnsi="Verdana" w:cs="Tahoma"/>
          <w:bCs/>
        </w:rPr>
        <w:t>Ma l’aspetto della difesa occupazionale, anche se estremamente importante, riesce solo a mitigare in parte le gravi conseguenze della perdita di produttività del nostro Paese, in particolare nei servizi di mercato. Un problema, questo, tutto italiano perché mentre la riduzione di competitività nell’industria accomuna l’Italia agli altri paesi, siamo i soli a perdere nell’ambito dei servizi</w:t>
      </w:r>
      <w:r w:rsidR="00246F4C" w:rsidRPr="00B324A7">
        <w:rPr>
          <w:rFonts w:ascii="Verdana" w:hAnsi="Verdana" w:cs="Tahoma"/>
          <w:bCs/>
        </w:rPr>
        <w:t xml:space="preserve"> (</w:t>
      </w:r>
      <w:proofErr w:type="spellStart"/>
      <w:r w:rsidR="00246F4C" w:rsidRPr="00B324A7">
        <w:rPr>
          <w:rFonts w:ascii="Verdana" w:hAnsi="Verdana" w:cs="Tahoma"/>
          <w:bCs/>
        </w:rPr>
        <w:t>Tab</w:t>
      </w:r>
      <w:proofErr w:type="spellEnd"/>
      <w:r w:rsidR="00246F4C" w:rsidRPr="00B324A7">
        <w:rPr>
          <w:rFonts w:ascii="Verdana" w:hAnsi="Verdana" w:cs="Tahoma"/>
          <w:bCs/>
        </w:rPr>
        <w:t>. B)</w:t>
      </w:r>
      <w:r w:rsidRPr="00B324A7">
        <w:rPr>
          <w:rFonts w:ascii="Verdana" w:hAnsi="Verdana" w:cs="Tahoma"/>
          <w:bCs/>
        </w:rPr>
        <w:t>.</w:t>
      </w:r>
    </w:p>
    <w:p w:rsidR="00B51DA4" w:rsidRPr="00B324A7" w:rsidRDefault="00B51DA4" w:rsidP="00B51DA4">
      <w:pPr>
        <w:spacing w:after="0" w:line="240" w:lineRule="auto"/>
        <w:jc w:val="both"/>
        <w:rPr>
          <w:rFonts w:ascii="Verdana" w:hAnsi="Verdana" w:cs="Tahoma"/>
          <w:bCs/>
        </w:rPr>
      </w:pPr>
    </w:p>
    <w:p w:rsidR="00B51DA4" w:rsidRDefault="00B51DA4" w:rsidP="00B324A7">
      <w:pPr>
        <w:spacing w:after="0" w:line="240" w:lineRule="auto"/>
        <w:jc w:val="center"/>
        <w:rPr>
          <w:rFonts w:ascii="Verdana" w:hAnsi="Verdana" w:cs="Tahoma"/>
          <w:bCs/>
          <w:sz w:val="24"/>
          <w:szCs w:val="24"/>
        </w:rPr>
      </w:pPr>
      <w:r>
        <w:rPr>
          <w:noProof/>
          <w:lang w:eastAsia="it-IT"/>
        </w:rPr>
        <w:lastRenderedPageBreak/>
        <w:drawing>
          <wp:inline distT="0" distB="0" distL="0" distR="0" wp14:anchorId="0C389E0F" wp14:editId="73144D9C">
            <wp:extent cx="5829300" cy="1884643"/>
            <wp:effectExtent l="0" t="0" r="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25069" cy="1883275"/>
                    </a:xfrm>
                    <a:prstGeom prst="rect">
                      <a:avLst/>
                    </a:prstGeom>
                  </pic:spPr>
                </pic:pic>
              </a:graphicData>
            </a:graphic>
          </wp:inline>
        </w:drawing>
      </w:r>
    </w:p>
    <w:p w:rsidR="00CC7633" w:rsidRPr="00246F4C" w:rsidRDefault="00CC7633" w:rsidP="00BF7061">
      <w:pPr>
        <w:spacing w:after="0" w:line="240" w:lineRule="auto"/>
        <w:jc w:val="both"/>
        <w:rPr>
          <w:rFonts w:ascii="Verdana" w:hAnsi="Verdana" w:cs="Tahoma"/>
          <w:bCs/>
        </w:rPr>
      </w:pPr>
    </w:p>
    <w:p w:rsidR="00B51DA4" w:rsidRPr="00B324A7" w:rsidRDefault="00B51DA4" w:rsidP="00BF7061">
      <w:pPr>
        <w:spacing w:after="0" w:line="240" w:lineRule="auto"/>
        <w:jc w:val="both"/>
        <w:rPr>
          <w:rFonts w:ascii="Verdana" w:hAnsi="Verdana" w:cs="Tahoma"/>
          <w:bCs/>
        </w:rPr>
      </w:pPr>
      <w:r w:rsidRPr="00B324A7">
        <w:rPr>
          <w:rFonts w:ascii="Verdana" w:hAnsi="Verdana" w:cs="Tahoma"/>
          <w:bCs/>
        </w:rPr>
        <w:t>E’ evidente, allora, che la crescita della produttività nel settore dei servizi di mercato</w:t>
      </w:r>
      <w:r w:rsidR="00BF7061" w:rsidRPr="00B324A7">
        <w:rPr>
          <w:rFonts w:ascii="Verdana" w:hAnsi="Verdana" w:cs="Tahoma"/>
          <w:bCs/>
        </w:rPr>
        <w:t xml:space="preserve"> – dal quale continuerà a provenire la maggior parte della ricchezza aggiuntiva a livello mondiale – rappresenta una garanzia contro il declino.</w:t>
      </w:r>
    </w:p>
    <w:p w:rsidR="00BF7061" w:rsidRPr="00B324A7" w:rsidRDefault="00BF7061" w:rsidP="00BF7061">
      <w:pPr>
        <w:spacing w:after="0" w:line="240" w:lineRule="auto"/>
        <w:jc w:val="both"/>
        <w:rPr>
          <w:rFonts w:ascii="Verdana" w:hAnsi="Verdana" w:cs="Tahoma"/>
          <w:bCs/>
        </w:rPr>
      </w:pPr>
    </w:p>
    <w:p w:rsidR="00246F4C" w:rsidRPr="00B324A7" w:rsidRDefault="00246F4C" w:rsidP="00BF7061">
      <w:pPr>
        <w:spacing w:after="0" w:line="240" w:lineRule="auto"/>
        <w:jc w:val="both"/>
        <w:rPr>
          <w:rFonts w:ascii="Verdana" w:hAnsi="Verdana" w:cs="Tahoma"/>
          <w:bCs/>
        </w:rPr>
      </w:pPr>
    </w:p>
    <w:p w:rsidR="00BF7061" w:rsidRPr="00B324A7" w:rsidRDefault="00BF7061" w:rsidP="00246F4C">
      <w:pPr>
        <w:pStyle w:val="Paragrafoelenco"/>
        <w:spacing w:after="0" w:line="240" w:lineRule="auto"/>
        <w:ind w:left="0"/>
        <w:jc w:val="both"/>
        <w:rPr>
          <w:rFonts w:ascii="Verdana" w:hAnsi="Verdana" w:cs="Tahoma"/>
          <w:b/>
          <w:bCs/>
        </w:rPr>
      </w:pPr>
      <w:r w:rsidRPr="00B324A7">
        <w:rPr>
          <w:rFonts w:ascii="Verdana" w:hAnsi="Verdana" w:cs="Tahoma"/>
          <w:b/>
          <w:bCs/>
        </w:rPr>
        <w:t>Legge di stabilità</w:t>
      </w:r>
    </w:p>
    <w:p w:rsidR="00246F4C" w:rsidRPr="00B324A7" w:rsidRDefault="00246F4C" w:rsidP="00246F4C">
      <w:pPr>
        <w:pStyle w:val="Paragrafoelenco"/>
        <w:spacing w:after="0" w:line="240" w:lineRule="auto"/>
        <w:ind w:left="0"/>
        <w:jc w:val="both"/>
        <w:rPr>
          <w:rFonts w:ascii="Verdana" w:hAnsi="Verdana" w:cs="Tahoma"/>
          <w:b/>
          <w:bCs/>
        </w:rPr>
      </w:pPr>
    </w:p>
    <w:p w:rsidR="00BF7061" w:rsidRPr="00B324A7" w:rsidRDefault="00BF7061" w:rsidP="00BF7061">
      <w:pPr>
        <w:spacing w:after="0" w:line="240" w:lineRule="auto"/>
        <w:jc w:val="both"/>
        <w:rPr>
          <w:rFonts w:ascii="Verdana" w:hAnsi="Verdana" w:cs="Tahoma"/>
          <w:bCs/>
        </w:rPr>
      </w:pPr>
      <w:r w:rsidRPr="00B324A7">
        <w:rPr>
          <w:rFonts w:ascii="Verdana" w:hAnsi="Verdana" w:cs="Tahoma"/>
          <w:bCs/>
        </w:rPr>
        <w:t>La legge di stabilità approvata dal Consiglio dei Ministri, nonostante sia condivisibile nell’impostazione generale, è troppo timida sia nei tagli di spesa che nella riduzione delle tasse ed è quindi destinata a portare troppo lentamente fuori dalle secche della bassa crescita il nostro Paese.</w:t>
      </w:r>
    </w:p>
    <w:p w:rsidR="00BF7061" w:rsidRPr="00B324A7" w:rsidRDefault="00BF7061" w:rsidP="00BF7061">
      <w:pPr>
        <w:spacing w:after="0" w:line="240" w:lineRule="auto"/>
        <w:jc w:val="both"/>
        <w:rPr>
          <w:rFonts w:ascii="Verdana" w:hAnsi="Verdana" w:cs="Tahoma"/>
          <w:bCs/>
        </w:rPr>
      </w:pPr>
      <w:r w:rsidRPr="00B324A7">
        <w:rPr>
          <w:rFonts w:ascii="Verdana" w:hAnsi="Verdana" w:cs="Tahoma"/>
          <w:bCs/>
        </w:rPr>
        <w:t>In particolare, proprio sulla questione delle tasse la manovra prevede incrementi dell’Iva e delle accise che determineranno un aggravio fiscale con inevitabili effetti depressivi su Pil e consumi. Solo con i previsti aumenti Iva</w:t>
      </w:r>
      <w:r w:rsidR="00CC7633" w:rsidRPr="00B324A7">
        <w:rPr>
          <w:rFonts w:ascii="Verdana" w:hAnsi="Verdana" w:cs="Tahoma"/>
          <w:bCs/>
        </w:rPr>
        <w:t>, infatti,</w:t>
      </w:r>
      <w:r w:rsidRPr="00B324A7">
        <w:rPr>
          <w:rFonts w:ascii="Verdana" w:hAnsi="Verdana" w:cs="Tahoma"/>
          <w:bCs/>
        </w:rPr>
        <w:t xml:space="preserve"> nel triennio 2016-2018 si avranno </w:t>
      </w:r>
      <w:r w:rsidR="00CC7633" w:rsidRPr="00B324A7">
        <w:rPr>
          <w:rFonts w:ascii="Verdana" w:hAnsi="Verdana" w:cs="Tahoma"/>
          <w:bCs/>
        </w:rPr>
        <w:t xml:space="preserve">complessivamente </w:t>
      </w:r>
      <w:r w:rsidRPr="00B324A7">
        <w:rPr>
          <w:rFonts w:ascii="Verdana" w:hAnsi="Verdana" w:cs="Tahoma"/>
          <w:bCs/>
        </w:rPr>
        <w:t>65 miliardi in meno</w:t>
      </w:r>
      <w:r w:rsidR="00CC7633" w:rsidRPr="00B324A7">
        <w:rPr>
          <w:rFonts w:ascii="Verdana" w:hAnsi="Verdana" w:cs="Tahoma"/>
          <w:bCs/>
        </w:rPr>
        <w:t xml:space="preserve"> di consumi da parte delle famiglie. E la crescita dei prezzi nel 2018 rispetto al 2015 sarà del 2,5%.</w:t>
      </w:r>
    </w:p>
    <w:p w:rsidR="00CC7633" w:rsidRPr="00B324A7" w:rsidRDefault="00CC7633" w:rsidP="00BF7061">
      <w:pPr>
        <w:spacing w:after="0" w:line="240" w:lineRule="auto"/>
        <w:jc w:val="both"/>
        <w:rPr>
          <w:rFonts w:ascii="Verdana" w:hAnsi="Verdana" w:cs="Tahoma"/>
          <w:bCs/>
        </w:rPr>
      </w:pPr>
    </w:p>
    <w:p w:rsidR="00CC7633" w:rsidRPr="00BF7061" w:rsidRDefault="00CC7633" w:rsidP="00B324A7">
      <w:pPr>
        <w:spacing w:after="0" w:line="240" w:lineRule="auto"/>
        <w:jc w:val="center"/>
        <w:rPr>
          <w:rFonts w:ascii="Verdana" w:hAnsi="Verdana" w:cs="Tahoma"/>
          <w:bCs/>
          <w:sz w:val="24"/>
          <w:szCs w:val="24"/>
        </w:rPr>
      </w:pPr>
      <w:r>
        <w:rPr>
          <w:noProof/>
          <w:lang w:eastAsia="it-IT"/>
        </w:rPr>
        <w:drawing>
          <wp:inline distT="0" distB="0" distL="0" distR="0" wp14:anchorId="3AAB92BD" wp14:editId="3BDB118A">
            <wp:extent cx="5124450" cy="385669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28544" cy="3859780"/>
                    </a:xfrm>
                    <a:prstGeom prst="rect">
                      <a:avLst/>
                    </a:prstGeom>
                  </pic:spPr>
                </pic:pic>
              </a:graphicData>
            </a:graphic>
          </wp:inline>
        </w:drawing>
      </w:r>
    </w:p>
    <w:sectPr w:rsidR="00CC7633" w:rsidRPr="00BF70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3D1A"/>
    <w:multiLevelType w:val="hybridMultilevel"/>
    <w:tmpl w:val="4DAC4D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17D"/>
    <w:rsid w:val="00246F4C"/>
    <w:rsid w:val="0090208C"/>
    <w:rsid w:val="00B2717D"/>
    <w:rsid w:val="00B324A7"/>
    <w:rsid w:val="00B51DA4"/>
    <w:rsid w:val="00BF7061"/>
    <w:rsid w:val="00CC76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271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717D"/>
    <w:rPr>
      <w:rFonts w:ascii="Tahoma" w:hAnsi="Tahoma" w:cs="Tahoma"/>
      <w:sz w:val="16"/>
      <w:szCs w:val="16"/>
    </w:rPr>
  </w:style>
  <w:style w:type="paragraph" w:styleId="Paragrafoelenco">
    <w:name w:val="List Paragraph"/>
    <w:basedOn w:val="Normale"/>
    <w:uiPriority w:val="34"/>
    <w:qFormat/>
    <w:rsid w:val="00BF7061"/>
    <w:pPr>
      <w:ind w:left="720"/>
      <w:contextualSpacing/>
    </w:pPr>
  </w:style>
  <w:style w:type="character" w:styleId="Numeropagina">
    <w:name w:val="page number"/>
    <w:basedOn w:val="Carpredefinitoparagrafo"/>
    <w:semiHidden/>
    <w:rsid w:val="00BF70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271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717D"/>
    <w:rPr>
      <w:rFonts w:ascii="Tahoma" w:hAnsi="Tahoma" w:cs="Tahoma"/>
      <w:sz w:val="16"/>
      <w:szCs w:val="16"/>
    </w:rPr>
  </w:style>
  <w:style w:type="paragraph" w:styleId="Paragrafoelenco">
    <w:name w:val="List Paragraph"/>
    <w:basedOn w:val="Normale"/>
    <w:uiPriority w:val="34"/>
    <w:qFormat/>
    <w:rsid w:val="00BF7061"/>
    <w:pPr>
      <w:ind w:left="720"/>
      <w:contextualSpacing/>
    </w:pPr>
  </w:style>
  <w:style w:type="character" w:styleId="Numeropagina">
    <w:name w:val="page number"/>
    <w:basedOn w:val="Carpredefinitoparagrafo"/>
    <w:semiHidden/>
    <w:rsid w:val="00BF7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345</Words>
  <Characters>1973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Ragaini</dc:creator>
  <cp:lastModifiedBy>Santini</cp:lastModifiedBy>
  <cp:revision>2</cp:revision>
  <cp:lastPrinted>2014-11-03T16:02:00Z</cp:lastPrinted>
  <dcterms:created xsi:type="dcterms:W3CDTF">2014-11-03T15:26:00Z</dcterms:created>
  <dcterms:modified xsi:type="dcterms:W3CDTF">2014-11-05T14:35:00Z</dcterms:modified>
</cp:coreProperties>
</file>